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EB6247">
        <w:t>24</w:t>
      </w:r>
    </w:p>
    <w:p w:rsidR="00EC7C98" w:rsidRPr="00914128" w:rsidRDefault="001E1DB5" w:rsidP="00914128">
      <w:pPr>
        <w:pStyle w:val="Heading1"/>
      </w:pPr>
      <w:r w:rsidRPr="001E1DB5">
        <w:t>INTENTIONAL INTERFERENCE WITH</w:t>
      </w:r>
      <w:r>
        <w:t xml:space="preserve"> </w:t>
      </w:r>
      <w:r w:rsidRPr="001E1DB5">
        <w:t>CONTRACTUAL OBLIGATIONS</w:t>
      </w:r>
    </w:p>
    <w:p w:rsidR="00EC7C98" w:rsidRDefault="00BA67D3"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rsidR="00CD23A0" w:rsidRDefault="00BA67D3" w:rsidP="00914128">
      <w:pPr>
        <w:pStyle w:val="ToC"/>
      </w:pPr>
      <w:hyperlink w:anchor="a24_02" w:history="1">
        <w:r w:rsidR="00CD23A0" w:rsidRPr="00CD23A0">
          <w:rPr>
            <w:rStyle w:val="Hyperlink"/>
          </w:rPr>
          <w:t>24:2</w:t>
        </w:r>
      </w:hyperlink>
      <w:r w:rsidR="00CD23A0" w:rsidRPr="00CD23A0">
        <w:t xml:space="preserve"> </w:t>
      </w:r>
      <w:r w:rsidR="00CD23A0" w:rsidRPr="00CD23A0">
        <w:tab/>
        <w:t>Intentional Conduct — Defined</w:t>
      </w:r>
    </w:p>
    <w:p w:rsidR="00CD23A0" w:rsidRDefault="00BA67D3"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rsidR="00CD23A0" w:rsidRDefault="00BA67D3" w:rsidP="00914128">
      <w:pPr>
        <w:pStyle w:val="ToC"/>
      </w:pPr>
      <w:hyperlink w:anchor="a24_04" w:history="1">
        <w:r w:rsidR="00CD23A0" w:rsidRPr="00CD23A0">
          <w:rPr>
            <w:rStyle w:val="Hyperlink"/>
          </w:rPr>
          <w:t>24:4</w:t>
        </w:r>
      </w:hyperlink>
      <w:r w:rsidR="00CD23A0" w:rsidRPr="00CD23A0">
        <w:t xml:space="preserve"> </w:t>
      </w:r>
      <w:r w:rsidR="00CD23A0" w:rsidRPr="00CD23A0">
        <w:tab/>
        <w:t>Interference — Defined</w:t>
      </w:r>
    </w:p>
    <w:p w:rsidR="00CD23A0" w:rsidRDefault="00BA67D3"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rsidR="00CD23A0" w:rsidRDefault="00BA67D3"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rsidR="00CD23A0" w:rsidRDefault="00BA67D3"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1E1DB5" w:rsidP="00CC0502">
      <w:pPr>
        <w:spacing w:after="240"/>
        <w:ind w:left="720" w:hanging="720"/>
        <w:rPr>
          <w:rFonts w:eastAsia="Times New Roman"/>
          <w:b/>
          <w:sz w:val="24"/>
          <w:szCs w:val="24"/>
        </w:rPr>
      </w:pPr>
      <w:bookmarkStart w:id="1" w:name="a24_01"/>
      <w:bookmarkEnd w:id="1"/>
      <w:r w:rsidRPr="001E1DB5">
        <w:rPr>
          <w:rFonts w:eastAsia="Times New Roman"/>
          <w:b/>
          <w:sz w:val="24"/>
          <w:szCs w:val="24"/>
        </w:rPr>
        <w:lastRenderedPageBreak/>
        <w:t xml:space="preserve">24:1 </w:t>
      </w:r>
      <w:r w:rsidRPr="001E1DB5">
        <w:rPr>
          <w:rFonts w:eastAsia="Times New Roman"/>
          <w:b/>
          <w:sz w:val="24"/>
          <w:szCs w:val="24"/>
        </w:rPr>
        <w:tab/>
        <w:t>ELEMENTS OF LIABILITY</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on (his) (her) claim of intentional interference with contract, you must find that all of the following have been proved by a preponderance of the evidence:</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[his] [her]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[insert instruction number that corresponds to 24:6]</w:t>
      </w:r>
      <w:r w:rsidRPr="001E1DB5">
        <w:rPr>
          <w:rFonts w:eastAsia="Times New Roman"/>
          <w:b/>
          <w:sz w:val="24"/>
          <w:szCs w:val="24"/>
        </w:rPr>
        <w:t>.)</w:t>
      </w:r>
    </w:p>
    <w:p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Sav.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r w:rsidRPr="001E1DB5">
        <w:rPr>
          <w:rFonts w:eastAsia="Times New Roman"/>
          <w:b/>
          <w:sz w:val="24"/>
          <w:szCs w:val="24"/>
        </w:rPr>
        <w:t>L &amp; M Enters., Inc. v. City of Golden</w:t>
      </w:r>
      <w:r w:rsidRPr="001E1DB5">
        <w:rPr>
          <w:rFonts w:eastAsia="Times New Roman"/>
          <w:sz w:val="24"/>
          <w:szCs w:val="24"/>
        </w:rPr>
        <w:t>, 852 P.2d 1337 (Colo. App. 1993).</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w:t>
      </w:r>
      <w:r w:rsidRPr="001E1DB5">
        <w:rPr>
          <w:rFonts w:eastAsia="Times New Roman"/>
          <w:sz w:val="24"/>
          <w:szCs w:val="24"/>
        </w:rPr>
        <w:lastRenderedPageBreak/>
        <w:t xml:space="preserve">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 This instruction, however, is not intended to cover such cases.</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r w:rsidRPr="001E1DB5">
        <w:rPr>
          <w:rFonts w:eastAsia="Times New Roman"/>
          <w:b/>
          <w:sz w:val="24"/>
          <w:szCs w:val="24"/>
        </w:rPr>
        <w:t>Trimble v. City &amp; Cty. of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r w:rsidRPr="001E1DB5">
        <w:rPr>
          <w:rFonts w:eastAsia="Times New Roman"/>
          <w:b/>
          <w:sz w:val="24"/>
          <w:szCs w:val="24"/>
        </w:rPr>
        <w:t>Friedman &amp; Son, Inc. v. Safeway Stores, Inc.</w:t>
      </w:r>
      <w:r w:rsidRPr="001E1DB5">
        <w:rPr>
          <w:rFonts w:eastAsia="Times New Roman"/>
          <w:sz w:val="24"/>
          <w:szCs w:val="24"/>
        </w:rPr>
        <w:t xml:space="preserve">, 712 P.2d 1128 (Colo. App. 1985).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712 P.2d 1131.</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12. A personal representative of a decedent’s estate may not be held personally liable for tortiously interfering with a contract between the decedent and a third party. </w:t>
      </w:r>
      <w:r w:rsidRPr="001E1DB5">
        <w:rPr>
          <w:rFonts w:eastAsia="Times New Roman"/>
          <w:b/>
          <w:sz w:val="24"/>
          <w:szCs w:val="24"/>
        </w:rPr>
        <w:t>Colo. Nat’l Bank of Denver v. Friedman</w:t>
      </w:r>
      <w:r w:rsidRPr="001E1DB5">
        <w:rPr>
          <w:rFonts w:eastAsia="Times New Roman"/>
          <w:sz w:val="24"/>
          <w:szCs w:val="24"/>
        </w:rPr>
        <w:t>, 846 P.2d 159 (Colo. 1993).</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13. A claim for tortious interference with contract cannot be maintained among parties to the same contract. </w:t>
      </w:r>
      <w:r w:rsidRPr="001E1DB5">
        <w:rPr>
          <w:rFonts w:eastAsia="Times New Roman"/>
          <w:b/>
          <w:sz w:val="24"/>
          <w:szCs w:val="24"/>
        </w:rPr>
        <w:t>MDM Grp. Assocs.,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14. Under the Colorado Governmental Immunity Act, a municipality is immune from liability for the tort of intentional interference with a contractual obligation. </w:t>
      </w:r>
      <w:r w:rsidRPr="001E1DB5">
        <w:rPr>
          <w:rFonts w:eastAsia="Times New Roman"/>
          <w:b/>
          <w:sz w:val="24"/>
          <w:szCs w:val="24"/>
        </w:rPr>
        <w:t>Grimm Constr. Co. v. Denver Bd. of Water Comm’rs</w:t>
      </w:r>
      <w:r w:rsidRPr="001E1DB5">
        <w:rPr>
          <w:rFonts w:eastAsia="Times New Roman"/>
          <w:sz w:val="24"/>
          <w:szCs w:val="24"/>
        </w:rPr>
        <w:t>, 835 P.2d 599 (Colo. App. 1992).</w:t>
      </w:r>
    </w:p>
    <w:p w:rsidR="00CB62DC" w:rsidRDefault="00CB62DC">
      <w:pPr>
        <w:rPr>
          <w:rFonts w:eastAsia="Times New Roman"/>
          <w:sz w:val="24"/>
          <w:szCs w:val="24"/>
        </w:rPr>
      </w:pPr>
      <w:r>
        <w:rPr>
          <w:rFonts w:eastAsia="Times New Roman"/>
          <w:sz w:val="24"/>
          <w:szCs w:val="24"/>
        </w:rPr>
        <w:br w:type="page"/>
      </w:r>
    </w:p>
    <w:p w:rsidR="00CB62DC" w:rsidRPr="009E3DA4" w:rsidRDefault="00CB62DC" w:rsidP="00CB62DC">
      <w:pPr>
        <w:spacing w:after="240"/>
        <w:ind w:left="720" w:hanging="720"/>
        <w:rPr>
          <w:rFonts w:eastAsia="Times New Roman"/>
          <w:b/>
          <w:sz w:val="24"/>
          <w:szCs w:val="24"/>
        </w:rPr>
      </w:pPr>
      <w:bookmarkStart w:id="2" w:name="a24_02"/>
      <w:bookmarkEnd w:id="2"/>
      <w:r w:rsidRPr="00CB62DC">
        <w:rPr>
          <w:rFonts w:eastAsia="Times New Roman"/>
          <w:b/>
          <w:sz w:val="24"/>
          <w:szCs w:val="24"/>
        </w:rPr>
        <w:lastRenderedPageBreak/>
        <w:t xml:space="preserve">24:2 </w:t>
      </w:r>
      <w:r w:rsidRPr="00CB62DC">
        <w:rPr>
          <w:rFonts w:eastAsia="Times New Roman"/>
          <w:b/>
          <w:sz w:val="24"/>
          <w:szCs w:val="24"/>
        </w:rPr>
        <w:tab/>
        <w:t>INTENTIONAL CONDUCT — DEFINED</w:t>
      </w:r>
    </w:p>
    <w:p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Conduct is intentional if a person acts or speaks for the purpose, in whole or in part, of bringing about a particular result, or if a person knows his or her acts or words are likely to bring about that result. It is not necessary that a person act or speak with malice or ill will, but the presence or absence of malice or ill will may be considered by you in determining if the conduct is intentional.</w:t>
      </w:r>
    </w:p>
    <w:p w:rsidR="00CB62DC" w:rsidRDefault="00CB62DC" w:rsidP="00CB62DC">
      <w:pPr>
        <w:jc w:val="center"/>
        <w:rPr>
          <w:rFonts w:eastAsia="Times New Roman"/>
          <w:sz w:val="24"/>
          <w:szCs w:val="24"/>
        </w:rPr>
      </w:pPr>
    </w:p>
    <w:p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j,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rsidR="00CB62DC" w:rsidRDefault="00CB62DC">
      <w:pPr>
        <w:rPr>
          <w:rFonts w:eastAsia="Times New Roman"/>
          <w:sz w:val="24"/>
          <w:szCs w:val="24"/>
        </w:rPr>
      </w:pPr>
      <w:r>
        <w:rPr>
          <w:rFonts w:eastAsia="Times New Roman"/>
          <w:sz w:val="24"/>
          <w:szCs w:val="24"/>
        </w:rPr>
        <w:br w:type="page"/>
      </w:r>
    </w:p>
    <w:p w:rsidR="00CB62DC" w:rsidRPr="009E3DA4" w:rsidRDefault="00CB62DC" w:rsidP="00CB62DC">
      <w:pPr>
        <w:spacing w:after="240"/>
        <w:ind w:left="720" w:hanging="720"/>
        <w:rPr>
          <w:rFonts w:eastAsia="Times New Roman"/>
          <w:b/>
          <w:sz w:val="24"/>
          <w:szCs w:val="24"/>
        </w:rPr>
      </w:pPr>
      <w:bookmarkStart w:id="3" w:name="a24_03"/>
      <w:bookmarkEnd w:id="3"/>
      <w:r w:rsidRPr="00CB62DC">
        <w:rPr>
          <w:rFonts w:eastAsia="Times New Roman"/>
          <w:b/>
          <w:sz w:val="24"/>
          <w:szCs w:val="24"/>
        </w:rPr>
        <w:lastRenderedPageBreak/>
        <w:t xml:space="preserve">24:3 </w:t>
      </w:r>
      <w:r w:rsidRPr="00CB62DC">
        <w:rPr>
          <w:rFonts w:eastAsia="Times New Roman"/>
          <w:b/>
          <w:sz w:val="24"/>
          <w:szCs w:val="24"/>
        </w:rPr>
        <w:tab/>
        <w:t>IMPROPER — DEFINED</w:t>
      </w:r>
    </w:p>
    <w:p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rsidR="00CB62DC" w:rsidRDefault="00CB62DC" w:rsidP="00CB62DC">
      <w:pPr>
        <w:jc w:val="center"/>
        <w:rPr>
          <w:rFonts w:eastAsia="Times New Roman"/>
          <w:sz w:val="24"/>
          <w:szCs w:val="24"/>
        </w:rPr>
      </w:pPr>
    </w:p>
    <w:p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rsidR="00CB62DC" w:rsidRPr="00CB62DC" w:rsidRDefault="00CB62DC" w:rsidP="00CB62DC">
      <w:pPr>
        <w:spacing w:after="240"/>
        <w:ind w:firstLine="720"/>
        <w:rPr>
          <w:rFonts w:eastAsia="Times New Roman"/>
          <w:sz w:val="24"/>
          <w:szCs w:val="24"/>
        </w:rPr>
      </w:pPr>
    </w:p>
    <w:p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Trimble v. City and Cty. of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xml:space="preserve">, 786 P.2d 1112 (Colo. 1990) (adopting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improper).</w:t>
      </w:r>
    </w:p>
    <w:p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rsidR="007F40A8" w:rsidRDefault="007F40A8">
      <w:pPr>
        <w:rPr>
          <w:rFonts w:eastAsia="Times New Roman"/>
          <w:sz w:val="24"/>
          <w:szCs w:val="24"/>
        </w:rPr>
      </w:pPr>
      <w:r>
        <w:rPr>
          <w:rFonts w:eastAsia="Times New Roman"/>
          <w:sz w:val="24"/>
          <w:szCs w:val="24"/>
        </w:rPr>
        <w:br w:type="page"/>
      </w:r>
    </w:p>
    <w:p w:rsidR="007F40A8" w:rsidRPr="009E3DA4" w:rsidRDefault="009E5CC5" w:rsidP="007F40A8">
      <w:pPr>
        <w:spacing w:after="240"/>
        <w:ind w:left="720" w:hanging="720"/>
        <w:rPr>
          <w:rFonts w:eastAsia="Times New Roman"/>
          <w:b/>
          <w:sz w:val="24"/>
          <w:szCs w:val="24"/>
        </w:rPr>
      </w:pPr>
      <w:bookmarkStart w:id="4" w:name="a24_04"/>
      <w:bookmarkEnd w:id="4"/>
      <w:r w:rsidRPr="009E5CC5">
        <w:rPr>
          <w:rFonts w:eastAsia="Times New Roman"/>
          <w:b/>
          <w:sz w:val="24"/>
          <w:szCs w:val="24"/>
        </w:rPr>
        <w:lastRenderedPageBreak/>
        <w:t xml:space="preserve">24:4 </w:t>
      </w:r>
      <w:r w:rsidRPr="009E5CC5">
        <w:rPr>
          <w:rFonts w:eastAsia="Times New Roman"/>
          <w:b/>
          <w:sz w:val="24"/>
          <w:szCs w:val="24"/>
        </w:rPr>
        <w:tab/>
        <w:t>INTERFERENCE — DEFINED</w:t>
      </w:r>
    </w:p>
    <w:p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rsidR="007F40A8" w:rsidRDefault="007F40A8" w:rsidP="007F40A8">
      <w:pPr>
        <w:jc w:val="center"/>
        <w:rPr>
          <w:rFonts w:eastAsia="Times New Roman"/>
          <w:sz w:val="24"/>
          <w:szCs w:val="24"/>
        </w:rPr>
      </w:pPr>
    </w:p>
    <w:p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rsidR="009E5CC5" w:rsidRDefault="009E5CC5">
      <w:pPr>
        <w:rPr>
          <w:rFonts w:eastAsia="Times New Roman"/>
          <w:sz w:val="24"/>
          <w:szCs w:val="24"/>
        </w:rPr>
      </w:pPr>
      <w:r>
        <w:rPr>
          <w:rFonts w:eastAsia="Times New Roman"/>
          <w:sz w:val="24"/>
          <w:szCs w:val="24"/>
        </w:rPr>
        <w:br w:type="page"/>
      </w:r>
    </w:p>
    <w:p w:rsidR="009E5CC5" w:rsidRPr="009E3DA4" w:rsidRDefault="001300D4" w:rsidP="009E5CC5">
      <w:pPr>
        <w:spacing w:after="240"/>
        <w:ind w:left="720" w:hanging="720"/>
        <w:rPr>
          <w:rFonts w:eastAsia="Times New Roman"/>
          <w:b/>
          <w:sz w:val="24"/>
          <w:szCs w:val="24"/>
        </w:rPr>
      </w:pPr>
      <w:bookmarkStart w:id="5" w:name="a24_05"/>
      <w:bookmarkEnd w:id="5"/>
      <w:r w:rsidRPr="001300D4">
        <w:rPr>
          <w:rFonts w:eastAsia="Times New Roman"/>
          <w:b/>
          <w:sz w:val="24"/>
          <w:szCs w:val="24"/>
        </w:rPr>
        <w:lastRenderedPageBreak/>
        <w:t xml:space="preserve">24:5 </w:t>
      </w:r>
      <w:r w:rsidRPr="001300D4">
        <w:rPr>
          <w:rFonts w:eastAsia="Times New Roman"/>
          <w:b/>
          <w:sz w:val="24"/>
          <w:szCs w:val="24"/>
        </w:rPr>
        <w:tab/>
        <w:t>CONTRACTS TERMINABLE AT WILL OR VOIDABLE</w:t>
      </w:r>
    </w:p>
    <w:p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rsidR="009E5CC5" w:rsidRDefault="009E5CC5" w:rsidP="009E5CC5">
      <w:pPr>
        <w:jc w:val="center"/>
        <w:rPr>
          <w:rFonts w:eastAsia="Times New Roman"/>
          <w:sz w:val="24"/>
          <w:szCs w:val="24"/>
        </w:rPr>
      </w:pPr>
    </w:p>
    <w:p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Dolton v. Capitol Fed. Sav.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w:t>
      </w:r>
      <w:r w:rsidRPr="001300D4">
        <w:rPr>
          <w:rFonts w:eastAsia="Times New Roman"/>
          <w:sz w:val="24"/>
          <w:szCs w:val="24"/>
        </w:rPr>
        <w:lastRenderedPageBreak/>
        <w:t xml:space="preserve">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f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rsidR="001300D4" w:rsidRDefault="001300D4">
      <w:pPr>
        <w:rPr>
          <w:rFonts w:eastAsia="Times New Roman"/>
          <w:sz w:val="24"/>
          <w:szCs w:val="24"/>
        </w:rPr>
      </w:pPr>
      <w:r>
        <w:rPr>
          <w:rFonts w:eastAsia="Times New Roman"/>
          <w:sz w:val="24"/>
          <w:szCs w:val="24"/>
        </w:rPr>
        <w:br w:type="page"/>
      </w:r>
    </w:p>
    <w:p w:rsidR="001300D4" w:rsidRPr="009E3DA4" w:rsidRDefault="00392F02" w:rsidP="001300D4">
      <w:pPr>
        <w:spacing w:after="240"/>
        <w:ind w:left="720" w:hanging="720"/>
        <w:rPr>
          <w:rFonts w:eastAsia="Times New Roman"/>
          <w:b/>
          <w:sz w:val="24"/>
          <w:szCs w:val="24"/>
        </w:rPr>
      </w:pPr>
      <w:bookmarkStart w:id="6" w:name="a24_06"/>
      <w:bookmarkEnd w:id="6"/>
      <w:r w:rsidRPr="00392F02">
        <w:rPr>
          <w:rFonts w:eastAsia="Times New Roman"/>
          <w:b/>
          <w:sz w:val="24"/>
          <w:szCs w:val="24"/>
        </w:rPr>
        <w:lastRenderedPageBreak/>
        <w:t xml:space="preserve">24:6 </w:t>
      </w:r>
      <w:r w:rsidRPr="00392F02">
        <w:rPr>
          <w:rFonts w:eastAsia="Times New Roman"/>
          <w:b/>
          <w:sz w:val="24"/>
          <w:szCs w:val="24"/>
        </w:rPr>
        <w:tab/>
        <w:t>AFFIRMATIVE DEFENSE — PRIVILEGE — WHEN EXISTENT — WHEN LOST</w:t>
      </w:r>
    </w:p>
    <w:p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For the defendant to establish (his) (her) (its) affirmative defense of privilege (he) (she) (it) has the burden of proving (all of the following):</w:t>
      </w:r>
    </w:p>
    <w:p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(Insert those facts that the defendant claims gives him or her a privilege and that, if true, would give the defendant a privilege as a matter of law.)</w:t>
      </w:r>
    </w:p>
    <w:p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[his] [her] [its] affirmative defense of privilege, that defense is lost if the plaintiff proves that the defendant abused [his] [her] [its] privilege. The defendant abused [his] [her] [its]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rsidR="001300D4" w:rsidRDefault="001300D4" w:rsidP="001300D4">
      <w:pPr>
        <w:jc w:val="center"/>
        <w:rPr>
          <w:rFonts w:eastAsia="Times New Roman"/>
          <w:sz w:val="24"/>
          <w:szCs w:val="24"/>
        </w:rPr>
      </w:pPr>
    </w:p>
    <w:p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 a qualified, not an absolute,  privilege).</w:t>
      </w:r>
    </w:p>
    <w:p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adopted 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Dolton v. Capitol Fed. Sav. &amp;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642 P.2d 21 (Colo. App. 1981) (privilege expressly adopted in case of companion tort of intentional interference with a prospective business advantage). “Wrongful means” includes the commission of independent torts, such as conversion and breach of fiduciary duty. </w:t>
      </w:r>
      <w:r w:rsidRPr="00392F02">
        <w:rPr>
          <w:rFonts w:eastAsia="Times New Roman"/>
          <w:b/>
          <w:sz w:val="24"/>
          <w:szCs w:val="24"/>
        </w:rPr>
        <w:t>Harris Grp., Inc.</w:t>
      </w:r>
      <w:r w:rsidRPr="00392F02">
        <w:rPr>
          <w:rFonts w:eastAsia="Times New Roman"/>
          <w:sz w:val="24"/>
          <w:szCs w:val="24"/>
        </w:rPr>
        <w:t xml:space="preserve">, 209 P.3d at 1200.  </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(1) One who intentionally causes a third person not to enter into a prospective contractual relation with another who is his competitor or not to continue an </w:t>
      </w:r>
      <w:r w:rsidRPr="00392F02">
        <w:rPr>
          <w:rFonts w:eastAsia="Times New Roman"/>
          <w:sz w:val="24"/>
          <w:szCs w:val="24"/>
        </w:rPr>
        <w:tab/>
        <w:t xml:space="preserve">existing contract terminable at will does not interfere improperly with the other’s relation if: </w:t>
      </w:r>
    </w:p>
    <w:p w:rsidR="00392F02" w:rsidRPr="00392F02" w:rsidRDefault="00392F02" w:rsidP="00B649E0">
      <w:pPr>
        <w:spacing w:after="240"/>
        <w:ind w:left="720"/>
        <w:rPr>
          <w:rFonts w:eastAsia="Times New Roman"/>
          <w:sz w:val="24"/>
          <w:szCs w:val="24"/>
        </w:rPr>
      </w:pPr>
      <w:r w:rsidRPr="00392F02">
        <w:rPr>
          <w:rFonts w:eastAsia="Times New Roman"/>
          <w:sz w:val="24"/>
          <w:szCs w:val="24"/>
        </w:rPr>
        <w:lastRenderedPageBreak/>
        <w:t xml:space="preserve">(a) the relation concerns a matter involved in the competition between the actor and the other and </w:t>
      </w:r>
    </w:p>
    <w:p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the actor does not employ wrongful means and </w:t>
      </w:r>
    </w:p>
    <w:p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his action does not create or continue an unlawful restraint of trade and </w:t>
      </w:r>
    </w:p>
    <w:p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his purpose is at least in part to advance his interest in competing with the other. </w:t>
      </w:r>
    </w:p>
    <w:p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w:t>
      </w:r>
      <w:r w:rsidRPr="00392F02">
        <w:rPr>
          <w:rFonts w:eastAsia="Times New Roman"/>
          <w:sz w:val="24"/>
          <w:szCs w:val="24"/>
        </w:rPr>
        <w:tab/>
        <w:t xml:space="preserve">does not prevent his causing a breach of an existing contract with the other from </w:t>
      </w:r>
      <w:r w:rsidRPr="00392F02">
        <w:rPr>
          <w:rFonts w:eastAsia="Times New Roman"/>
          <w:sz w:val="24"/>
          <w:szCs w:val="24"/>
        </w:rPr>
        <w:tab/>
        <w:t xml:space="preserve">being an improper interference if the contract is not terminable at will. </w:t>
      </w:r>
    </w:p>
    <w:p w:rsidR="00392F02" w:rsidRPr="00392F02" w:rsidRDefault="00392F02" w:rsidP="00B649E0">
      <w:pPr>
        <w:spacing w:after="240"/>
        <w:rPr>
          <w:rFonts w:eastAsia="Times New Roman"/>
          <w:sz w:val="24"/>
          <w:szCs w:val="24"/>
        </w:rPr>
      </w:pP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r w:rsidRPr="00392F02">
        <w:rPr>
          <w:rFonts w:eastAsia="Times New Roman"/>
          <w:b/>
          <w:sz w:val="24"/>
          <w:szCs w:val="24"/>
        </w:rPr>
        <w:t>Boettcher DTC Bldg. Joint Venture v. Falcon Ventures</w:t>
      </w:r>
      <w:r w:rsidRPr="00392F02">
        <w:rPr>
          <w:rFonts w:eastAsia="Times New Roman"/>
          <w:sz w:val="24"/>
          <w:szCs w:val="24"/>
        </w:rPr>
        <w:t>, 762 P.2d 788 (Colo. App. 1988).</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6. Though an agent or corporate officer may be privileged to interfere with a contract between the principal and another, such privilege is only a qualified privilege that may be lost if the agent abuses the privilege by acting improperly. </w:t>
      </w:r>
      <w:r w:rsidRPr="00392F02">
        <w:rPr>
          <w:rFonts w:eastAsia="Times New Roman"/>
          <w:b/>
          <w:sz w:val="24"/>
          <w:szCs w:val="24"/>
        </w:rPr>
        <w:t>Trimble v. City &amp; Cty. of Denver</w:t>
      </w:r>
      <w:r w:rsidRPr="00392F02">
        <w:rPr>
          <w:rFonts w:eastAsia="Times New Roman"/>
          <w:sz w:val="24"/>
          <w:szCs w:val="24"/>
        </w:rPr>
        <w:t xml:space="preserve">, 697 P.2d 716 (Colo. 1985) (agent abused privilege when the interference was not done for bona fide </w:t>
      </w:r>
      <w:r w:rsidRPr="00392F02">
        <w:rPr>
          <w:rFonts w:eastAsia="Times New Roman"/>
          <w:sz w:val="24"/>
          <w:szCs w:val="24"/>
        </w:rPr>
        <w:lastRenderedPageBreak/>
        <w:t xml:space="preserve">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
    <w:p w:rsidR="00B649E0" w:rsidRDefault="00B649E0">
      <w:pPr>
        <w:rPr>
          <w:rFonts w:eastAsia="Times New Roman"/>
          <w:sz w:val="24"/>
          <w:szCs w:val="24"/>
        </w:rPr>
      </w:pPr>
      <w:r>
        <w:rPr>
          <w:rFonts w:eastAsia="Times New Roman"/>
          <w:sz w:val="24"/>
          <w:szCs w:val="24"/>
        </w:rPr>
        <w:br w:type="page"/>
      </w:r>
    </w:p>
    <w:p w:rsidR="00B649E0" w:rsidRPr="009E3DA4" w:rsidRDefault="00B649E0" w:rsidP="00B649E0">
      <w:pPr>
        <w:spacing w:after="240"/>
        <w:ind w:left="720" w:hanging="720"/>
        <w:rPr>
          <w:rFonts w:eastAsia="Times New Roman"/>
          <w:b/>
          <w:sz w:val="24"/>
          <w:szCs w:val="24"/>
        </w:rPr>
      </w:pPr>
      <w:bookmarkStart w:id="7" w:name="a24_07"/>
      <w:bookmarkEnd w:id="7"/>
      <w:r w:rsidRPr="00B649E0">
        <w:rPr>
          <w:rFonts w:eastAsia="Times New Roman"/>
          <w:b/>
          <w:sz w:val="24"/>
          <w:szCs w:val="24"/>
        </w:rPr>
        <w:lastRenderedPageBreak/>
        <w:t xml:space="preserve">24:7 </w:t>
      </w:r>
      <w:r w:rsidRPr="00B649E0">
        <w:rPr>
          <w:rFonts w:eastAsia="Times New Roman"/>
          <w:b/>
          <w:sz w:val="24"/>
          <w:szCs w:val="24"/>
        </w:rPr>
        <w:tab/>
        <w:t>ACTUAL OR NOMINAL DAMAGES</w:t>
      </w:r>
    </w:p>
    <w:p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If you find in favor of the plaintiff but do not find any actual damages, you shall award (him) (her) (it) nominal damages of one dollar.</w:t>
      </w:r>
    </w:p>
    <w:p w:rsidR="00B649E0" w:rsidRDefault="00B649E0" w:rsidP="00B649E0">
      <w:pPr>
        <w:jc w:val="center"/>
        <w:rPr>
          <w:rFonts w:eastAsia="Times New Roman"/>
          <w:sz w:val="24"/>
          <w:szCs w:val="24"/>
        </w:rPr>
      </w:pPr>
    </w:p>
    <w:p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 xml:space="preserve">Hein Enters., Ltd. v. San Francisco </w:t>
      </w:r>
      <w:r w:rsidRPr="00B649E0">
        <w:rPr>
          <w:rFonts w:eastAsia="Times New Roman"/>
          <w:b/>
          <w:sz w:val="24"/>
          <w:szCs w:val="24"/>
        </w:rPr>
        <w:lastRenderedPageBreak/>
        <w:t>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r w:rsidRPr="00B649E0">
        <w:rPr>
          <w:rFonts w:eastAsia="Times New Roman"/>
          <w:b/>
          <w:sz w:val="24"/>
          <w:szCs w:val="24"/>
        </w:rPr>
        <w:t>Rywalt v. Writer Corp.</w:t>
      </w:r>
      <w:r w:rsidRPr="00B649E0">
        <w:rPr>
          <w:rFonts w:eastAsia="Times New Roman"/>
          <w:sz w:val="24"/>
          <w:szCs w:val="24"/>
        </w:rPr>
        <w:t xml:space="preserve">, 34 Colo. App. 334, 526 P.2d 316 (1974). On the other hand, if the plaintiff proves he or she sustained some damages, but produces insufficient evidence from which the amount of such damages can be determined, the plaintiff is nonetheless entitled to nominal damages. </w:t>
      </w:r>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
    <w:p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Under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Punitive Damages for Interference With</w:t>
      </w:r>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r w:rsidRPr="00B649E0">
        <w:rPr>
          <w:rFonts w:eastAsia="Times New Roman"/>
          <w:b/>
          <w:sz w:val="24"/>
          <w:szCs w:val="24"/>
        </w:rPr>
        <w:t>Mem’l Gardens, Inc. v. Olympian Sales &amp; Mgmt. Consultants, Inc.</w:t>
      </w:r>
      <w:r w:rsidRPr="00B649E0">
        <w:rPr>
          <w:rFonts w:eastAsia="Times New Roman"/>
          <w:sz w:val="24"/>
          <w:szCs w:val="24"/>
        </w:rPr>
        <w:t>, 690 P.2d 207 (Colo. 1984).</w:t>
      </w:r>
    </w:p>
    <w:p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r w:rsidRPr="00B649E0">
        <w:rPr>
          <w:rFonts w:eastAsia="Times New Roman"/>
          <w:b/>
          <w:sz w:val="24"/>
          <w:szCs w:val="24"/>
        </w:rPr>
        <w:t>Swartz v. Bianco Family Tr.</w:t>
      </w:r>
      <w:r w:rsidRPr="00B649E0">
        <w:rPr>
          <w:rFonts w:eastAsia="Times New Roman"/>
          <w:sz w:val="24"/>
          <w:szCs w:val="24"/>
        </w:rPr>
        <w:t xml:space="preserve">, 874 P.2d 430 (Colo. App. 1993). Litigation costs incurred by a party in separate litigation may sometimes be an appropriate measure of compensatory damages against another party. </w:t>
      </w:r>
      <w:r w:rsidRPr="00B649E0">
        <w:rPr>
          <w:rFonts w:eastAsia="Times New Roman"/>
          <w:b/>
          <w:sz w:val="24"/>
          <w:szCs w:val="24"/>
        </w:rPr>
        <w:t>Rocky Mtn. Festivals, Inc. v. Parsons Corp.</w:t>
      </w:r>
      <w:r w:rsidRPr="00B649E0">
        <w:rPr>
          <w:rFonts w:eastAsia="Times New Roman"/>
          <w:sz w:val="24"/>
          <w:szCs w:val="24"/>
        </w:rPr>
        <w:t>, 242 P.3d 1067 (Colo. 2010).</w:t>
      </w:r>
      <w:r w:rsidRPr="00CB62DC">
        <w:rPr>
          <w:rFonts w:eastAsia="Times New Roman"/>
          <w:sz w:val="24"/>
          <w:szCs w:val="24"/>
        </w:rPr>
        <w:t xml:space="preserve"> </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73" w:rsidRDefault="00BD2373" w:rsidP="0054263B">
      <w:r>
        <w:separator/>
      </w:r>
    </w:p>
    <w:p w:rsidR="00BD2373" w:rsidRDefault="00BD2373"/>
  </w:endnote>
  <w:endnote w:type="continuationSeparator" w:id="0">
    <w:p w:rsidR="00BD2373" w:rsidRDefault="00BD2373" w:rsidP="0054263B">
      <w:r>
        <w:continuationSeparator/>
      </w:r>
    </w:p>
    <w:p w:rsidR="00BD2373" w:rsidRDefault="00BD2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47374D" w:rsidRDefault="0047374D">
        <w:pPr>
          <w:pStyle w:val="Footer"/>
          <w:jc w:val="center"/>
        </w:pPr>
        <w:r>
          <w:fldChar w:fldCharType="begin"/>
        </w:r>
        <w:r>
          <w:instrText xml:space="preserve"> PAGE   \* MERGEFORMAT </w:instrText>
        </w:r>
        <w:r>
          <w:fldChar w:fldCharType="separate"/>
        </w:r>
        <w:r w:rsidR="00BA67D3">
          <w:rPr>
            <w:noProof/>
          </w:rPr>
          <w:t>17</w:t>
        </w:r>
        <w:r>
          <w:rPr>
            <w:noProof/>
          </w:rPr>
          <w:fldChar w:fldCharType="end"/>
        </w:r>
      </w:p>
    </w:sdtContent>
  </w:sdt>
  <w:p w:rsidR="0047374D" w:rsidRDefault="0047374D">
    <w:pPr>
      <w:pStyle w:val="Footer"/>
    </w:pPr>
  </w:p>
  <w:p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73" w:rsidRDefault="00BD2373" w:rsidP="0054263B">
      <w:r>
        <w:separator/>
      </w:r>
    </w:p>
    <w:p w:rsidR="00BD2373" w:rsidRDefault="00BD2373"/>
  </w:footnote>
  <w:footnote w:type="continuationSeparator" w:id="0">
    <w:p w:rsidR="00BD2373" w:rsidRDefault="00BD2373" w:rsidP="0054263B">
      <w:r>
        <w:continuationSeparator/>
      </w:r>
    </w:p>
    <w:p w:rsidR="00BD2373" w:rsidRDefault="00BD23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607E"/>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7D3"/>
    <w:rsid w:val="00BB344E"/>
    <w:rsid w:val="00BB436B"/>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3919"/>
    <w:rsid w:val="00EC7C98"/>
    <w:rsid w:val="00ED5E52"/>
    <w:rsid w:val="00ED7176"/>
    <w:rsid w:val="00ED75EA"/>
    <w:rsid w:val="00EF4043"/>
    <w:rsid w:val="00F022D4"/>
    <w:rsid w:val="00F062A4"/>
    <w:rsid w:val="00F32AA4"/>
    <w:rsid w:val="00F41683"/>
    <w:rsid w:val="00F573CF"/>
    <w:rsid w:val="00F57A2B"/>
    <w:rsid w:val="00F60050"/>
    <w:rsid w:val="00F658E5"/>
    <w:rsid w:val="00F764F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2018-02-15T05:51:00Z</dcterms:created>
  <dcterms:modified xsi:type="dcterms:W3CDTF">2018-04-20T17:50:00Z</dcterms:modified>
</cp:coreProperties>
</file>