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8B7480">
        <w:t>23</w:t>
      </w:r>
    </w:p>
    <w:p w:rsidR="00EC7C98" w:rsidRPr="00914128" w:rsidRDefault="008B7480" w:rsidP="00914128">
      <w:pPr>
        <w:pStyle w:val="Heading1"/>
      </w:pPr>
      <w:r w:rsidRPr="008B7480">
        <w:t>EXTREME AND OUTRAGEOUS CONDUCT —</w:t>
      </w:r>
      <w:r>
        <w:t xml:space="preserve"> </w:t>
      </w:r>
      <w:r w:rsidRPr="008B7480">
        <w:t>EMOTIONAL DISTRESS</w:t>
      </w:r>
    </w:p>
    <w:p w:rsidR="00EC7C98" w:rsidRDefault="005B52B6"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rsidR="00CB5C67" w:rsidRDefault="005B52B6"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nd Outrageous Conduct — Defined</w:t>
      </w:r>
    </w:p>
    <w:p w:rsidR="00CB5C67" w:rsidRDefault="005B52B6"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rsidR="00CB5C67" w:rsidRDefault="005B52B6" w:rsidP="00914128">
      <w:pPr>
        <w:pStyle w:val="ToC"/>
      </w:pPr>
      <w:hyperlink w:anchor="a23_04" w:history="1">
        <w:r w:rsidR="00CB5C67" w:rsidRPr="00CB5C67">
          <w:rPr>
            <w:rStyle w:val="Hyperlink"/>
          </w:rPr>
          <w:t>23:4</w:t>
        </w:r>
      </w:hyperlink>
      <w:r w:rsidR="00CB5C67" w:rsidRPr="00CB5C67">
        <w:t xml:space="preserve"> </w:t>
      </w:r>
      <w:r w:rsidR="00CB5C67" w:rsidRPr="00CB5C67">
        <w:tab/>
        <w:t>Severe Emotional Distress — Defined</w:t>
      </w:r>
    </w:p>
    <w:p w:rsidR="00CB5C67" w:rsidRDefault="005B52B6"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rsidR="00CB5C67" w:rsidRDefault="005B52B6"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8B7480" w:rsidP="00CC0502">
      <w:pPr>
        <w:spacing w:after="240"/>
        <w:ind w:left="720" w:hanging="720"/>
        <w:rPr>
          <w:rFonts w:eastAsia="Times New Roman"/>
          <w:b/>
          <w:sz w:val="24"/>
          <w:szCs w:val="24"/>
        </w:rPr>
      </w:pPr>
      <w:bookmarkStart w:id="1" w:name="a23_01"/>
      <w:bookmarkEnd w:id="1"/>
      <w:r w:rsidRPr="008B7480">
        <w:rPr>
          <w:rFonts w:eastAsia="Times New Roman"/>
          <w:b/>
          <w:sz w:val="24"/>
          <w:szCs w:val="24"/>
        </w:rPr>
        <w:lastRenderedPageBreak/>
        <w:t>23:1</w:t>
      </w:r>
      <w:r w:rsidRPr="008B7480">
        <w:rPr>
          <w:rFonts w:eastAsia="Times New Roman"/>
          <w:b/>
          <w:sz w:val="24"/>
          <w:szCs w:val="24"/>
        </w:rPr>
        <w:tab/>
        <w:t>ELEMENTS OF LIABILITY</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on (his) (her) claim of extreme and outrageous conduct, you must find all of the following have been proved by a preponderance of the evidence:</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1. The defendant engaged in extreme and outrageous conduct;</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r w:rsidRPr="008B7480">
        <w:rPr>
          <w:rFonts w:eastAsia="Times New Roman"/>
          <w:b/>
          <w:sz w:val="24"/>
          <w:szCs w:val="24"/>
        </w:rPr>
        <w:t>Rugg v. McCarty</w:t>
      </w:r>
      <w:r w:rsidRPr="008B7480">
        <w:rPr>
          <w:rFonts w:eastAsia="Times New Roman"/>
          <w:sz w:val="24"/>
          <w:szCs w:val="24"/>
        </w:rPr>
        <w:t xml:space="preserve">, 173 </w:t>
      </w:r>
      <w:smartTag w:uri="urn:schemas-microsoft-com:office:smarttags" w:element="place">
        <w:smartTag w:uri="urn:schemas-microsoft-com:office:smarttags" w:element="Stat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r w:rsidRPr="008B7480">
        <w:rPr>
          <w:rFonts w:eastAsia="Times New Roman"/>
          <w:b/>
          <w:sz w:val="24"/>
          <w:szCs w:val="24"/>
        </w:rPr>
        <w:t>Reigel v. SavaSeniorCare L.L.C.</w:t>
      </w:r>
      <w:r w:rsidRPr="008B7480">
        <w:rPr>
          <w:rFonts w:eastAsia="Times New Roman"/>
          <w:sz w:val="24"/>
          <w:szCs w:val="24"/>
        </w:rPr>
        <w:t xml:space="preserve">, 292 P.3d 977 (Colo. App. 2011); </w:t>
      </w:r>
      <w:r w:rsidRPr="008B7480">
        <w:rPr>
          <w:rFonts w:eastAsia="Times New Roman"/>
          <w:b/>
          <w:sz w:val="24"/>
          <w:szCs w:val="24"/>
        </w:rPr>
        <w:t>Green v. Qwest Servs.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 v. Kancilia</w:t>
      </w:r>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r-Hill Co., L.L.C.</w:t>
      </w:r>
      <w:r w:rsidRPr="008B7480">
        <w:rPr>
          <w:rFonts w:eastAsia="Times New Roman"/>
          <w:sz w:val="24"/>
          <w:szCs w:val="24"/>
        </w:rPr>
        <w:t xml:space="preserve">, 15 P.3d 1122 (Colo. App. 2000); </w:t>
      </w:r>
      <w:r w:rsidRPr="008B7480">
        <w:rPr>
          <w:rFonts w:eastAsia="Times New Roman"/>
          <w:b/>
          <w:sz w:val="24"/>
          <w:szCs w:val="24"/>
        </w:rPr>
        <w:t>Tracz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Publ’g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Mortg.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Corcoran v. Sanner</w:t>
      </w:r>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submissible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r w:rsidRPr="008B7480">
        <w:rPr>
          <w:rFonts w:eastAsia="Times New Roman"/>
          <w:b/>
          <w:sz w:val="24"/>
          <w:szCs w:val="24"/>
        </w:rPr>
        <w:t>Reigel</w:t>
      </w:r>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 Inc. v. Gramling</w:t>
      </w:r>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r w:rsidRPr="008B7480">
        <w:rPr>
          <w:rFonts w:eastAsia="Times New Roman"/>
          <w:b/>
          <w:sz w:val="24"/>
          <w:szCs w:val="24"/>
        </w:rPr>
        <w:t>Tracz</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witt v. Pitkin Cty. Bank &amp; Tr. Co.</w:t>
      </w:r>
      <w:r w:rsidRPr="008B7480">
        <w:rPr>
          <w:rFonts w:eastAsia="Times New Roman"/>
          <w:sz w:val="24"/>
          <w:szCs w:val="24"/>
        </w:rPr>
        <w:t xml:space="preserve">, 931 P.2d 456 (Colo. App. 1995); </w:t>
      </w:r>
      <w:r w:rsidRPr="008B7480">
        <w:rPr>
          <w:rFonts w:eastAsia="Times New Roman"/>
          <w:b/>
          <w:sz w:val="24"/>
          <w:szCs w:val="24"/>
        </w:rPr>
        <w:t>Hutton v. Mem’l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5. “[P]ublic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Vrain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w:t>
      </w:r>
      <w:r w:rsidRPr="008B7480">
        <w:rPr>
          <w:rFonts w:eastAsia="Times New Roman"/>
          <w:sz w:val="24"/>
          <w:szCs w:val="24"/>
        </w:rPr>
        <w:lastRenderedPageBreak/>
        <w:t xml:space="preserve">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Hoffsetz v. Jefferson Cty.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r w:rsidRPr="008B7480">
        <w:rPr>
          <w:rFonts w:eastAsia="Times New Roman"/>
          <w:b/>
          <w:sz w:val="24"/>
          <w:szCs w:val="24"/>
        </w:rPr>
        <w:t>McKelvy v. Liberty Mut.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Munoz v. State Farm Mut.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CATV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adopting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r w:rsidRPr="008B7480">
        <w:rPr>
          <w:rFonts w:eastAsia="Times New Roman"/>
          <w:b/>
          <w:sz w:val="24"/>
          <w:szCs w:val="24"/>
        </w:rPr>
        <w:t>Vikman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h</w:t>
      </w:r>
      <w:smartTag w:uri="urn:schemas-microsoft-com:office:smarttags" w:element="PersonName">
        <w:r w:rsidRPr="008B7480">
          <w:rPr>
            <w:rFonts w:eastAsia="Times New Roman"/>
            <w:sz w:val="24"/>
            <w:szCs w:val="24"/>
          </w:rPr>
          <w:t>e</w:t>
        </w:r>
      </w:smartTag>
      <w:r w:rsidRPr="008B7480">
        <w:rPr>
          <w:rFonts w:eastAsia="Times New Roman"/>
          <w:sz w:val="24"/>
          <w:szCs w:val="24"/>
        </w:rPr>
        <w:t>ld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National Labor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 Act, 29 U.S.C. §§ 151 to -169, did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mpt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claims against a union arising out of a union activity against union m</w:t>
      </w:r>
      <w:smartTag w:uri="urn:schemas-microsoft-com:office:smarttags" w:element="PersonName">
        <w:r w:rsidRPr="008B7480">
          <w:rPr>
            <w:rFonts w:eastAsia="Times New Roman"/>
            <w:sz w:val="24"/>
            <w:szCs w:val="24"/>
          </w:rPr>
          <w:t>e</w:t>
        </w:r>
      </w:smartTag>
      <w:r w:rsidRPr="008B7480">
        <w:rPr>
          <w:rFonts w:eastAsia="Times New Roman"/>
          <w:sz w:val="24"/>
          <w:szCs w:val="24"/>
        </w:rPr>
        <w:t>mb</w:t>
      </w:r>
      <w:smartTag w:uri="urn:schemas-microsoft-com:office:smarttags" w:element="PersonName">
        <w:r w:rsidRPr="008B7480">
          <w:rPr>
            <w:rFonts w:eastAsia="Times New Roman"/>
            <w:sz w:val="24"/>
            <w:szCs w:val="24"/>
          </w:rPr>
          <w:t>e</w:t>
        </w:r>
      </w:smartTag>
      <w:r w:rsidRPr="008B7480">
        <w:rPr>
          <w:rFonts w:eastAsia="Times New Roman"/>
          <w:sz w:val="24"/>
          <w:szCs w:val="24"/>
        </w:rPr>
        <w:t>r who cross</w:t>
      </w:r>
      <w:smartTag w:uri="urn:schemas-microsoft-com:office:smarttags" w:element="PersonName">
        <w:r w:rsidRPr="008B7480">
          <w:rPr>
            <w:rFonts w:eastAsia="Times New Roman"/>
            <w:sz w:val="24"/>
            <w:szCs w:val="24"/>
          </w:rPr>
          <w:t>e</w:t>
        </w:r>
      </w:smartTag>
      <w:r w:rsidRPr="008B7480">
        <w:rPr>
          <w:rFonts w:eastAsia="Times New Roman"/>
          <w:sz w:val="24"/>
          <w:szCs w:val="24"/>
        </w:rPr>
        <w:t>d a pick</w:t>
      </w:r>
      <w:smartTag w:uri="urn:schemas-microsoft-com:office:smarttags" w:element="PersonName">
        <w:r w:rsidRPr="008B7480">
          <w:rPr>
            <w:rFonts w:eastAsia="Times New Roman"/>
            <w:sz w:val="24"/>
            <w:szCs w:val="24"/>
          </w:rPr>
          <w:t>e</w:t>
        </w:r>
      </w:smartTag>
      <w:r w:rsidRPr="008B7480">
        <w:rPr>
          <w:rFonts w:eastAsia="Times New Roman"/>
          <w:sz w:val="24"/>
          <w:szCs w:val="24"/>
        </w:rPr>
        <w:t>t lin</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r w:rsidRPr="008B7480">
        <w:rPr>
          <w:rFonts w:eastAsia="Times New Roman"/>
          <w:b/>
          <w:sz w:val="24"/>
          <w:szCs w:val="24"/>
        </w:rPr>
        <w:t>Bigby v. Big 3 Supply Co.</w:t>
      </w:r>
      <w:r w:rsidRPr="008B7480">
        <w:rPr>
          <w:rFonts w:eastAsia="Times New Roman"/>
          <w:sz w:val="24"/>
          <w:szCs w:val="24"/>
        </w:rPr>
        <w:t>, 937 P.2d 794 (Colo. App. 1996).</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13. An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 may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against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providing alcohol as a social host to adults, in light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prot</w:t>
      </w:r>
      <w:smartTag w:uri="urn:schemas-microsoft-com:office:smarttags" w:element="PersonName">
        <w:r w:rsidRPr="008B7480">
          <w:rPr>
            <w:rFonts w:eastAsia="Times New Roman"/>
            <w:sz w:val="24"/>
            <w:szCs w:val="24"/>
          </w:rPr>
          <w:t>e</w:t>
        </w:r>
      </w:smartTag>
      <w:r w:rsidRPr="008B7480">
        <w:rPr>
          <w:rFonts w:eastAsia="Times New Roman"/>
          <w:sz w:val="24"/>
          <w:szCs w:val="24"/>
        </w:rPr>
        <w:t>ction off</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by section 12-47-801(4)(a), C.R.S.</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r w:rsidRPr="008B7480">
        <w:rPr>
          <w:rFonts w:eastAsia="Times New Roman"/>
          <w:b/>
          <w:sz w:val="24"/>
          <w:szCs w:val="24"/>
        </w:rPr>
        <w:t>Seefried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tortfeasor. </w:t>
      </w:r>
      <w:r w:rsidRPr="008B7480">
        <w:rPr>
          <w:rFonts w:eastAsia="Times New Roman"/>
          <w:b/>
          <w:sz w:val="24"/>
          <w:szCs w:val="24"/>
        </w:rPr>
        <w:t>Palmer v. Diaz</w:t>
      </w:r>
      <w:r w:rsidRPr="008B7480">
        <w:rPr>
          <w:rFonts w:eastAsia="Times New Roman"/>
          <w:sz w:val="24"/>
          <w:szCs w:val="24"/>
        </w:rPr>
        <w:t>, 214 P.3d 546 (Colo. App. 2009).</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8B7480">
        <w:rPr>
          <w:rFonts w:eastAsia="Times New Roman"/>
          <w:b/>
          <w:bCs/>
          <w:sz w:val="24"/>
          <w:szCs w:val="24"/>
        </w:rPr>
        <w:t xml:space="preserve">, </w:t>
      </w:r>
      <w:r w:rsidRPr="008B7480">
        <w:rPr>
          <w:rFonts w:eastAsia="Times New Roman"/>
          <w:sz w:val="24"/>
          <w:szCs w:val="24"/>
        </w:rPr>
        <w:t>320 P.3d 387.</w:t>
      </w:r>
    </w:p>
    <w:p w:rsidR="00AD61CD" w:rsidRDefault="00AD61CD">
      <w:pPr>
        <w:rPr>
          <w:rFonts w:eastAsia="Times New Roman"/>
          <w:sz w:val="24"/>
          <w:szCs w:val="24"/>
        </w:rPr>
      </w:pPr>
      <w:r>
        <w:rPr>
          <w:rFonts w:eastAsia="Times New Roman"/>
          <w:sz w:val="24"/>
          <w:szCs w:val="24"/>
        </w:rPr>
        <w:br w:type="page"/>
      </w:r>
    </w:p>
    <w:p w:rsidR="00AD61CD" w:rsidRPr="009E3DA4" w:rsidRDefault="009A273C" w:rsidP="00AD61CD">
      <w:pPr>
        <w:spacing w:after="240"/>
        <w:ind w:left="720" w:hanging="720"/>
        <w:rPr>
          <w:rFonts w:eastAsia="Times New Roman"/>
          <w:b/>
          <w:sz w:val="24"/>
          <w:szCs w:val="24"/>
        </w:rPr>
      </w:pPr>
      <w:bookmarkStart w:id="2" w:name="a23_02"/>
      <w:bookmarkEnd w:id="2"/>
      <w:r w:rsidRPr="009A273C">
        <w:rPr>
          <w:rFonts w:eastAsia="Times New Roman"/>
          <w:b/>
          <w:sz w:val="24"/>
          <w:szCs w:val="24"/>
        </w:rPr>
        <w:lastRenderedPageBreak/>
        <w:t xml:space="preserve">23:2 </w:t>
      </w:r>
      <w:r w:rsidRPr="009A273C">
        <w:rPr>
          <w:rFonts w:eastAsia="Times New Roman"/>
          <w:b/>
          <w:sz w:val="24"/>
          <w:szCs w:val="24"/>
        </w:rPr>
        <w:tab/>
        <w:t>EXTREME AND OUTRAGEOUS CONDUCT — DEFINED</w:t>
      </w:r>
    </w:p>
    <w:p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rsidR="00AD61CD" w:rsidRDefault="00AD61CD" w:rsidP="00AD61CD">
      <w:pPr>
        <w:jc w:val="center"/>
        <w:rPr>
          <w:rFonts w:eastAsia="Times New Roman"/>
          <w:sz w:val="24"/>
          <w:szCs w:val="24"/>
        </w:rPr>
      </w:pPr>
    </w:p>
    <w:p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Rugg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 v. Grabrian</w:t>
      </w:r>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lastRenderedPageBreak/>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Reigel v. SavaSeniorCare, L.L.C.</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Tracz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Publ’g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Mut.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r w:rsidRPr="009A273C">
        <w:rPr>
          <w:rFonts w:eastAsia="Times New Roman"/>
          <w:b/>
          <w:sz w:val="24"/>
          <w:szCs w:val="24"/>
        </w:rPr>
        <w:t>Bohrer v. DeHart</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r w:rsidRPr="009A273C">
        <w:rPr>
          <w:rFonts w:eastAsia="Times New Roman"/>
          <w:b/>
          <w:sz w:val="24"/>
          <w:szCs w:val="24"/>
        </w:rPr>
        <w:t>Zick v. Krob</w:t>
      </w:r>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r w:rsidRPr="009A273C">
        <w:rPr>
          <w:rFonts w:eastAsia="Times New Roman"/>
          <w:b/>
          <w:sz w:val="24"/>
          <w:szCs w:val="24"/>
        </w:rPr>
        <w:t>Lindemuth v. Jefferson Cty.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Nat’l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Montoya v.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 v. 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Cavanaugh</w:t>
      </w:r>
      <w:r w:rsidRPr="009A273C">
        <w:rPr>
          <w:rFonts w:eastAsia="Times New Roman"/>
          <w:sz w:val="24"/>
          <w:szCs w:val="24"/>
        </w:rPr>
        <w:t xml:space="preserve">, 40 Colo. App. 454, 580 P.2d 399;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Ass’n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cmt.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r w:rsidRPr="009A273C">
        <w:rPr>
          <w:rFonts w:eastAsia="Times New Roman"/>
          <w:b/>
          <w:sz w:val="24"/>
          <w:szCs w:val="24"/>
        </w:rPr>
        <w:t>Gorab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1984);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Inc. v. Gramling</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 v. Kancilia</w:t>
      </w:r>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2004).</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will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if that incident  involves conduct that m</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ts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finition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as </w:t>
      </w:r>
      <w:smartTag w:uri="urn:schemas-microsoft-com:office:smarttags" w:element="PersonName">
        <w:r w:rsidRPr="009A273C">
          <w:rPr>
            <w:rFonts w:eastAsia="Times New Roman"/>
            <w:sz w:val="24"/>
            <w:szCs w:val="24"/>
          </w:rPr>
          <w:t>e</w:t>
        </w:r>
      </w:smartTag>
      <w:r w:rsidRPr="009A273C">
        <w:rPr>
          <w:rFonts w:eastAsia="Times New Roman"/>
          <w:sz w:val="24"/>
          <w:szCs w:val="24"/>
        </w:rPr>
        <w:t>xpr</w:t>
      </w:r>
      <w:smartTag w:uri="urn:schemas-microsoft-com:office:smarttags" w:element="PersonName">
        <w:r w:rsidRPr="009A273C">
          <w:rPr>
            <w:rFonts w:eastAsia="Times New Roman"/>
            <w:sz w:val="24"/>
            <w:szCs w:val="24"/>
          </w:rPr>
          <w:t>e</w:t>
        </w:r>
      </w:smartTag>
      <w:r w:rsidRPr="009A273C">
        <w:rPr>
          <w:rFonts w:eastAsia="Times New Roman"/>
          <w:sz w:val="24"/>
          <w:szCs w:val="24"/>
        </w:rPr>
        <w:t>ss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in this instruction. </w:t>
      </w:r>
      <w:r w:rsidRPr="009A273C">
        <w:rPr>
          <w:rFonts w:eastAsia="Times New Roman"/>
          <w:i/>
          <w:sz w:val="24"/>
          <w:szCs w:val="24"/>
        </w:rPr>
        <w:t>See</w:t>
      </w:r>
      <w:r w:rsidRPr="009A273C">
        <w:rPr>
          <w:rFonts w:eastAsia="Times New Roman"/>
          <w:sz w:val="24"/>
          <w:szCs w:val="24"/>
        </w:rPr>
        <w:t xml:space="preserve">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r w:rsidRPr="009A273C">
        <w:rPr>
          <w:rFonts w:eastAsia="Times New Roman"/>
          <w:sz w:val="24"/>
          <w:szCs w:val="24"/>
        </w:rPr>
        <w:t>, 40 Colo. App. at 66, 573 P.2d at 562 (refusal of ambulance service to critically ill plaintiff could meet test for outrageous conduct).</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lastRenderedPageBreak/>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r w:rsidRPr="009A273C">
        <w:rPr>
          <w:rFonts w:eastAsia="Times New Roman"/>
          <w:b/>
          <w:sz w:val="24"/>
          <w:szCs w:val="24"/>
        </w:rPr>
        <w:t>Zalnis</w:t>
      </w:r>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State">
        <w:smartTag w:uri="urn:schemas-microsoft-com:office:smarttags" w:element="plac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rsidR="009A273C" w:rsidRDefault="009A273C">
      <w:pPr>
        <w:rPr>
          <w:rFonts w:eastAsia="Times New Roman"/>
          <w:sz w:val="24"/>
          <w:szCs w:val="24"/>
        </w:rPr>
      </w:pPr>
      <w:r>
        <w:rPr>
          <w:rFonts w:eastAsia="Times New Roman"/>
          <w:sz w:val="24"/>
          <w:szCs w:val="24"/>
        </w:rPr>
        <w:br w:type="page"/>
      </w:r>
    </w:p>
    <w:p w:rsidR="009A273C" w:rsidRPr="009E3DA4" w:rsidRDefault="009A273C" w:rsidP="009A273C">
      <w:pPr>
        <w:spacing w:after="240"/>
        <w:ind w:left="720" w:hanging="720"/>
        <w:rPr>
          <w:rFonts w:eastAsia="Times New Roman"/>
          <w:b/>
          <w:sz w:val="24"/>
          <w:szCs w:val="24"/>
        </w:rPr>
      </w:pPr>
      <w:bookmarkStart w:id="3" w:name="a23_03"/>
      <w:bookmarkEnd w:id="3"/>
      <w:r w:rsidRPr="009A273C">
        <w:rPr>
          <w:rFonts w:eastAsia="Times New Roman"/>
          <w:b/>
          <w:sz w:val="24"/>
          <w:szCs w:val="24"/>
        </w:rPr>
        <w:lastRenderedPageBreak/>
        <w:t xml:space="preserve">23:3 </w:t>
      </w:r>
      <w:r w:rsidRPr="009A273C">
        <w:rPr>
          <w:rFonts w:eastAsia="Times New Roman"/>
          <w:b/>
          <w:sz w:val="24"/>
          <w:szCs w:val="24"/>
        </w:rPr>
        <w:tab/>
        <w:t>RECKLESSLY OR WITH INTENT — DEFINED</w:t>
      </w:r>
    </w:p>
    <w:p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rsidR="009A273C" w:rsidRDefault="009A273C" w:rsidP="009A273C">
      <w:pPr>
        <w:jc w:val="center"/>
        <w:rPr>
          <w:rFonts w:eastAsia="Times New Roman"/>
          <w:sz w:val="24"/>
          <w:szCs w:val="24"/>
        </w:rPr>
      </w:pPr>
    </w:p>
    <w:p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1994); and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rsidR="009256BD" w:rsidRDefault="009256BD">
      <w:pPr>
        <w:rPr>
          <w:rFonts w:eastAsia="Times New Roman"/>
          <w:sz w:val="24"/>
          <w:szCs w:val="24"/>
        </w:rPr>
      </w:pPr>
      <w:r>
        <w:rPr>
          <w:rFonts w:eastAsia="Times New Roman"/>
          <w:sz w:val="24"/>
          <w:szCs w:val="24"/>
        </w:rPr>
        <w:br w:type="page"/>
      </w:r>
    </w:p>
    <w:p w:rsidR="009256BD" w:rsidRPr="009E3DA4" w:rsidRDefault="007C4B23" w:rsidP="009256BD">
      <w:pPr>
        <w:spacing w:after="240"/>
        <w:ind w:left="720" w:hanging="720"/>
        <w:rPr>
          <w:rFonts w:eastAsia="Times New Roman"/>
          <w:b/>
          <w:sz w:val="24"/>
          <w:szCs w:val="24"/>
        </w:rPr>
      </w:pPr>
      <w:bookmarkStart w:id="4" w:name="a23_04"/>
      <w:bookmarkEnd w:id="4"/>
      <w:r w:rsidRPr="007C4B23">
        <w:rPr>
          <w:rFonts w:eastAsia="Times New Roman"/>
          <w:b/>
          <w:sz w:val="24"/>
          <w:szCs w:val="24"/>
        </w:rPr>
        <w:lastRenderedPageBreak/>
        <w:t xml:space="preserve">23:4 </w:t>
      </w:r>
      <w:r w:rsidRPr="007C4B23">
        <w:rPr>
          <w:rFonts w:eastAsia="Times New Roman"/>
          <w:b/>
          <w:sz w:val="24"/>
          <w:szCs w:val="24"/>
        </w:rPr>
        <w:tab/>
        <w:t>SEVERE EMOTIONAL DISTRESS — DEFINED</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rsidR="009256BD" w:rsidRDefault="009256BD" w:rsidP="009256BD">
      <w:pPr>
        <w:jc w:val="center"/>
        <w:rPr>
          <w:rFonts w:eastAsia="Times New Roman"/>
          <w:sz w:val="24"/>
          <w:szCs w:val="24"/>
        </w:rPr>
      </w:pPr>
    </w:p>
    <w:p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cmt.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j (1965) is part of Colorado’s common law); </w:t>
      </w:r>
      <w:r w:rsidRPr="007C4B23">
        <w:rPr>
          <w:rFonts w:eastAsia="Times New Roman"/>
          <w:b/>
          <w:sz w:val="24"/>
          <w:szCs w:val="24"/>
        </w:rPr>
        <w:t>DeCicco v. Trinidad Area Health Ass’n</w:t>
      </w:r>
      <w:r w:rsidRPr="007C4B23">
        <w:rPr>
          <w:rFonts w:eastAsia="Times New Roman"/>
          <w:sz w:val="24"/>
          <w:szCs w:val="24"/>
        </w:rPr>
        <w:t>, 40 Colo. App. 63, 573 P.2d 559 (1977) (grief is significant factor in outrageous conduct action).</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r w:rsidRPr="007C4B23">
        <w:rPr>
          <w:rFonts w:eastAsia="Times New Roman"/>
          <w:b/>
          <w:sz w:val="24"/>
          <w:szCs w:val="24"/>
        </w:rPr>
        <w:t>Zalnis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rsidR="009C03DD" w:rsidRDefault="007C4B23" w:rsidP="00EC29A6">
      <w:pPr>
        <w:spacing w:after="240"/>
        <w:ind w:firstLine="720"/>
        <w:rPr>
          <w:rFonts w:eastAsia="Times New Roman"/>
          <w:sz w:val="24"/>
          <w:szCs w:val="24"/>
        </w:rPr>
      </w:pPr>
      <w:r w:rsidRPr="007C4B23">
        <w:rPr>
          <w:rFonts w:eastAsia="Times New Roman"/>
          <w:sz w:val="24"/>
          <w:szCs w:val="24"/>
        </w:rPr>
        <w:t xml:space="preserve">3. Severe emotional distress does not require an accompanying physical injury.  </w:t>
      </w:r>
      <w:r w:rsidRPr="007C4B23">
        <w:rPr>
          <w:rFonts w:eastAsia="Times New Roman"/>
          <w:b/>
          <w:sz w:val="24"/>
          <w:szCs w:val="24"/>
        </w:rPr>
        <w:t>Rugg v. McCarty</w:t>
      </w:r>
      <w:r w:rsidRPr="007C4B23">
        <w:rPr>
          <w:rFonts w:eastAsia="Times New Roman"/>
          <w:sz w:val="24"/>
          <w:szCs w:val="24"/>
        </w:rPr>
        <w:t>, 173 Colo. 170, 476 P.2d 753 (1970).</w:t>
      </w:r>
    </w:p>
    <w:p w:rsidR="007C4B23" w:rsidRDefault="007C4B23">
      <w:pPr>
        <w:rPr>
          <w:rFonts w:eastAsia="Times New Roman"/>
          <w:sz w:val="24"/>
          <w:szCs w:val="24"/>
        </w:rPr>
      </w:pPr>
      <w:r>
        <w:rPr>
          <w:rFonts w:eastAsia="Times New Roman"/>
          <w:sz w:val="24"/>
          <w:szCs w:val="24"/>
        </w:rPr>
        <w:br w:type="page"/>
      </w:r>
    </w:p>
    <w:p w:rsidR="007C4B23" w:rsidRPr="009E3DA4" w:rsidRDefault="007C4B23" w:rsidP="007C4B23">
      <w:pPr>
        <w:spacing w:after="240"/>
        <w:ind w:left="720" w:hanging="720"/>
        <w:rPr>
          <w:rFonts w:eastAsia="Times New Roman"/>
          <w:b/>
          <w:sz w:val="24"/>
          <w:szCs w:val="24"/>
        </w:rPr>
      </w:pPr>
      <w:bookmarkStart w:id="5" w:name="a23_05"/>
      <w:bookmarkEnd w:id="5"/>
      <w:r w:rsidRPr="007C4B23">
        <w:rPr>
          <w:rFonts w:eastAsia="Times New Roman"/>
          <w:b/>
          <w:sz w:val="24"/>
          <w:szCs w:val="24"/>
        </w:rPr>
        <w:lastRenderedPageBreak/>
        <w:t xml:space="preserve">23:5 </w:t>
      </w:r>
      <w:r w:rsidRPr="007C4B23">
        <w:rPr>
          <w:rFonts w:eastAsia="Times New Roman"/>
          <w:b/>
          <w:sz w:val="24"/>
          <w:szCs w:val="24"/>
        </w:rPr>
        <w:tab/>
        <w:t>EXERCISING LEGAL RIGHTS IN PERMISSIBLE MANNER</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(he) (she) (it) was exercising (his) (her) (its)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If the defendant was exercising (his) (her) (its) legal rights in a manner that would not otherwise constitute extreme and outrageous conduct, your verdict must be for the defendant.</w:t>
      </w:r>
    </w:p>
    <w:p w:rsidR="007C4B23" w:rsidRDefault="007C4B23" w:rsidP="007C4B23">
      <w:pPr>
        <w:jc w:val="center"/>
        <w:rPr>
          <w:rFonts w:eastAsia="Times New Roman"/>
          <w:sz w:val="24"/>
          <w:szCs w:val="24"/>
        </w:rPr>
      </w:pPr>
    </w:p>
    <w:p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rsidR="007C4B23" w:rsidRDefault="007C4B23">
      <w:pPr>
        <w:rPr>
          <w:rFonts w:eastAsia="Times New Roman"/>
          <w:sz w:val="24"/>
          <w:szCs w:val="24"/>
        </w:rPr>
      </w:pPr>
      <w:r>
        <w:rPr>
          <w:rFonts w:eastAsia="Times New Roman"/>
          <w:sz w:val="24"/>
          <w:szCs w:val="24"/>
        </w:rPr>
        <w:br w:type="page"/>
      </w:r>
    </w:p>
    <w:p w:rsidR="007C4B23" w:rsidRPr="009E3DA4" w:rsidRDefault="007C4B23" w:rsidP="007C4B23">
      <w:pPr>
        <w:spacing w:after="240"/>
        <w:ind w:left="720" w:hanging="720"/>
        <w:rPr>
          <w:rFonts w:eastAsia="Times New Roman"/>
          <w:b/>
          <w:sz w:val="24"/>
          <w:szCs w:val="24"/>
        </w:rPr>
      </w:pPr>
      <w:bookmarkStart w:id="6" w:name="a23_06"/>
      <w:bookmarkEnd w:id="6"/>
      <w:r w:rsidRPr="007C4B23">
        <w:rPr>
          <w:rFonts w:eastAsia="Times New Roman"/>
          <w:b/>
          <w:sz w:val="24"/>
          <w:szCs w:val="24"/>
        </w:rPr>
        <w:lastRenderedPageBreak/>
        <w:t xml:space="preserve">23:6 </w:t>
      </w:r>
      <w:r w:rsidRPr="007C4B23">
        <w:rPr>
          <w:rFonts w:eastAsia="Times New Roman"/>
          <w:b/>
          <w:sz w:val="24"/>
          <w:szCs w:val="24"/>
        </w:rPr>
        <w:tab/>
        <w:t>ACTUAL DAMAGES</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7C4B23" w:rsidRDefault="007C4B23" w:rsidP="007C4B23">
      <w:pPr>
        <w:jc w:val="center"/>
        <w:rPr>
          <w:rFonts w:eastAsia="Times New Roman"/>
          <w:sz w:val="24"/>
          <w:szCs w:val="24"/>
        </w:rPr>
      </w:pPr>
    </w:p>
    <w:p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r w:rsidRPr="007C4B23">
        <w:rPr>
          <w:rFonts w:eastAsia="Times New Roman"/>
          <w:b/>
          <w:sz w:val="24"/>
          <w:szCs w:val="24"/>
        </w:rPr>
        <w:t>Rodrigue v. Hausman</w:t>
      </w:r>
      <w:r w:rsidRPr="007C4B23">
        <w:rPr>
          <w:rFonts w:eastAsia="Times New Roman"/>
          <w:sz w:val="24"/>
          <w:szCs w:val="24"/>
        </w:rPr>
        <w:t>, 33 Colo. App. 305, 519 P.2d 1216 (1974).</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5 P.3d 280 (Colo. 2000) (section 13-15-111.5, C.R.S., requires the pro rata distribution of civil liability among intentional and negligent tortfeasors who jointly cause indivisible injuries).</w:t>
      </w:r>
    </w:p>
    <w:p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r w:rsidRPr="007C4B23">
        <w:rPr>
          <w:rFonts w:eastAsia="Times New Roman"/>
          <w:b/>
          <w:sz w:val="24"/>
          <w:szCs w:val="24"/>
        </w:rPr>
        <w:t>Meiter v. Cavanaugh</w:t>
      </w:r>
      <w:r w:rsidRPr="007C4B23">
        <w:rPr>
          <w:rFonts w:eastAsia="Times New Roman"/>
          <w:sz w:val="24"/>
          <w:szCs w:val="24"/>
        </w:rPr>
        <w:t>, 40 Colo. App. 454, 580 P.2d 399 (1978).</w:t>
      </w:r>
    </w:p>
    <w:p w:rsidR="007C4B23" w:rsidRPr="007C4B23" w:rsidRDefault="007C4B23" w:rsidP="007C4B23">
      <w:pPr>
        <w:spacing w:after="240"/>
        <w:ind w:firstLine="720"/>
        <w:rPr>
          <w:rFonts w:eastAsia="Times New Roman"/>
          <w:sz w:val="24"/>
          <w:szCs w:val="24"/>
        </w:rPr>
      </w:pPr>
      <w:r w:rsidRPr="007C4B23">
        <w:rPr>
          <w:rFonts w:eastAsia="Times New Roman"/>
          <w:sz w:val="24"/>
          <w:szCs w:val="24"/>
        </w:rPr>
        <w:lastRenderedPageBreak/>
        <w:t xml:space="preserve">2. The sentimental and emotional value of property may be considered in awarding damages in claims for the intentional or reckless infliction of emotional distress, such as a claim for outrageous conduct. </w:t>
      </w:r>
      <w:r w:rsidRPr="007C4B23">
        <w:rPr>
          <w:rFonts w:eastAsia="Times New Roman"/>
          <w:b/>
          <w:sz w:val="24"/>
          <w:szCs w:val="24"/>
        </w:rPr>
        <w:t>Chryar v. Wolf</w:t>
      </w:r>
      <w:r w:rsidRPr="007C4B23">
        <w:rPr>
          <w:rFonts w:eastAsia="Times New Roman"/>
          <w:sz w:val="24"/>
          <w:szCs w:val="24"/>
        </w:rPr>
        <w:t>, 21 P.3d 428 (Colo. App. 2000).</w:t>
      </w:r>
    </w:p>
    <w:p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B9" w:rsidRDefault="00113EB9" w:rsidP="0054263B">
      <w:r>
        <w:separator/>
      </w:r>
    </w:p>
    <w:p w:rsidR="00113EB9" w:rsidRDefault="00113EB9"/>
  </w:endnote>
  <w:endnote w:type="continuationSeparator" w:id="0">
    <w:p w:rsidR="00113EB9" w:rsidRDefault="00113EB9" w:rsidP="0054263B">
      <w:r>
        <w:continuationSeparator/>
      </w:r>
    </w:p>
    <w:p w:rsidR="00113EB9" w:rsidRDefault="0011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47374D" w:rsidRDefault="0047374D">
        <w:pPr>
          <w:pStyle w:val="Footer"/>
          <w:jc w:val="center"/>
        </w:pPr>
        <w:r>
          <w:fldChar w:fldCharType="begin"/>
        </w:r>
        <w:r>
          <w:instrText xml:space="preserve"> PAGE   \* MERGEFORMAT </w:instrText>
        </w:r>
        <w:r>
          <w:fldChar w:fldCharType="separate"/>
        </w:r>
        <w:r w:rsidR="00771404">
          <w:rPr>
            <w:noProof/>
          </w:rPr>
          <w:t>13</w:t>
        </w:r>
        <w:r>
          <w:rPr>
            <w:noProof/>
          </w:rPr>
          <w:fldChar w:fldCharType="end"/>
        </w:r>
      </w:p>
    </w:sdtContent>
  </w:sdt>
  <w:p w:rsidR="0047374D" w:rsidRDefault="0047374D">
    <w:pPr>
      <w:pStyle w:val="Footer"/>
    </w:pPr>
  </w:p>
  <w:p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B9" w:rsidRDefault="00113EB9" w:rsidP="0054263B">
      <w:r>
        <w:separator/>
      </w:r>
    </w:p>
    <w:p w:rsidR="00113EB9" w:rsidRDefault="00113EB9"/>
  </w:footnote>
  <w:footnote w:type="continuationSeparator" w:id="0">
    <w:p w:rsidR="00113EB9" w:rsidRDefault="00113EB9" w:rsidP="0054263B">
      <w:r>
        <w:continuationSeparator/>
      </w:r>
    </w:p>
    <w:p w:rsidR="00113EB9" w:rsidRDefault="00113E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258"/>
    <w:rsid w:val="002547C3"/>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B5ABE"/>
    <w:rsid w:val="003D027F"/>
    <w:rsid w:val="003D1B54"/>
    <w:rsid w:val="003D370E"/>
    <w:rsid w:val="003D7C8E"/>
    <w:rsid w:val="003E472A"/>
    <w:rsid w:val="003E5B38"/>
    <w:rsid w:val="003F108C"/>
    <w:rsid w:val="003F6E89"/>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71404"/>
    <w:rsid w:val="00787065"/>
    <w:rsid w:val="00792028"/>
    <w:rsid w:val="007A3A0E"/>
    <w:rsid w:val="007A612E"/>
    <w:rsid w:val="007B1633"/>
    <w:rsid w:val="007C4B2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037B"/>
    <w:rsid w:val="00EB113C"/>
    <w:rsid w:val="00EB5133"/>
    <w:rsid w:val="00EC16F4"/>
    <w:rsid w:val="00EC17E3"/>
    <w:rsid w:val="00EC29A6"/>
    <w:rsid w:val="00EC3919"/>
    <w:rsid w:val="00EC7C98"/>
    <w:rsid w:val="00ED5E52"/>
    <w:rsid w:val="00ED7176"/>
    <w:rsid w:val="00ED75EA"/>
    <w:rsid w:val="00EF4043"/>
    <w:rsid w:val="00F022D4"/>
    <w:rsid w:val="00F062A4"/>
    <w:rsid w:val="00F32AA4"/>
    <w:rsid w:val="00F573CF"/>
    <w:rsid w:val="00F57A2B"/>
    <w:rsid w:val="00F60050"/>
    <w:rsid w:val="00F658E5"/>
    <w:rsid w:val="00F764F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2018-02-15T05:49:00Z</dcterms:created>
  <dcterms:modified xsi:type="dcterms:W3CDTF">2018-04-20T17:50:00Z</dcterms:modified>
</cp:coreProperties>
</file>