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35971">
        <w:t>16</w:t>
      </w:r>
    </w:p>
    <w:p w:rsidR="00EC7C98" w:rsidRPr="00914128" w:rsidRDefault="00035971" w:rsidP="00914128">
      <w:pPr>
        <w:pStyle w:val="Heading1"/>
      </w:pPr>
      <w:r>
        <w:rPr>
          <w:b w:val="0"/>
        </w:rPr>
        <w:t>BAILORS AND BAILEES</w:t>
      </w:r>
    </w:p>
    <w:p w:rsidR="00EC7C98" w:rsidRDefault="000E6753"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rsidR="00AD2536" w:rsidRDefault="000E6753" w:rsidP="00914128">
      <w:pPr>
        <w:pStyle w:val="ToC"/>
      </w:pPr>
      <w:hyperlink w:anchor="a16_02" w:history="1">
        <w:r w:rsidR="00AD2536" w:rsidRPr="00AD2536">
          <w:rPr>
            <w:rStyle w:val="Hyperlink"/>
          </w:rPr>
          <w:t>16:2</w:t>
        </w:r>
      </w:hyperlink>
      <w:r w:rsidR="00AD2536" w:rsidRPr="00AD2536">
        <w:t xml:space="preserve"> </w:t>
      </w:r>
      <w:r w:rsidR="00AD2536" w:rsidRPr="00AD2536">
        <w:tab/>
        <w:t xml:space="preserve">Bailor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rsidR="00AD2536" w:rsidRDefault="000E6753"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rsidR="00AD2536" w:rsidRDefault="000E6753"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rsidR="00AD2536" w:rsidRDefault="000E6753"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rsidR="00AD2536" w:rsidRDefault="000E6753"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035971" w:rsidP="00CC0502">
      <w:pPr>
        <w:spacing w:after="240"/>
        <w:ind w:left="720" w:hanging="720"/>
        <w:rPr>
          <w:rFonts w:eastAsia="Times New Roman"/>
          <w:b/>
          <w:sz w:val="24"/>
          <w:szCs w:val="24"/>
        </w:rPr>
      </w:pPr>
      <w:bookmarkStart w:id="1" w:name="a16_01"/>
      <w:bookmarkEnd w:id="1"/>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r w:rsidRPr="00035971">
        <w:rPr>
          <w:rFonts w:eastAsia="Times New Roman"/>
          <w:b/>
          <w:sz w:val="24"/>
          <w:szCs w:val="24"/>
        </w:rPr>
        <w:t>Montano v. Land Title Guar. Co.</w:t>
      </w:r>
      <w:r w:rsidRPr="00035971">
        <w:rPr>
          <w:rFonts w:eastAsia="Times New Roman"/>
          <w:sz w:val="24"/>
          <w:szCs w:val="24"/>
        </w:rPr>
        <w:t xml:space="preserve">, 778 P.2d 328 (Colo. App. 1989). It may also arise when there is no direct agreement between the parties, but the transaction is for their mutual benefit. </w:t>
      </w:r>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r w:rsidRPr="00035971">
        <w:rPr>
          <w:rFonts w:eastAsia="Times New Roman"/>
          <w:b/>
          <w:sz w:val="24"/>
          <w:szCs w:val="24"/>
        </w:rPr>
        <w:t>Passamano v. Travelers Indem. Co.</w:t>
      </w:r>
      <w:r w:rsidRPr="00035971">
        <w:rPr>
          <w:rFonts w:eastAsia="Times New Roman"/>
          <w:sz w:val="24"/>
          <w:szCs w:val="24"/>
        </w:rPr>
        <w:t>, 835 P.2d 514 (Colo. App. 1991),</w:t>
      </w:r>
      <w:r w:rsidRPr="00035971">
        <w:rPr>
          <w:rFonts w:eastAsia="Times New Roman"/>
          <w:i/>
          <w:sz w:val="24"/>
          <w:szCs w:val="24"/>
        </w:rPr>
        <w:t xml:space="preserve"> rev’d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1994).</w:t>
      </w:r>
    </w:p>
    <w:p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In re Marriage of Amich</w:t>
      </w:r>
      <w:r w:rsidRPr="00035971">
        <w:rPr>
          <w:rFonts w:eastAsia="Times New Roman"/>
          <w:sz w:val="24"/>
          <w:szCs w:val="24"/>
        </w:rPr>
        <w:t>, 192 P.3d 422 (Colo. App. 2007) (that wife left jewelry in home occupied solely by husband was adequate evidence to support trial court finding of bailment).</w:t>
      </w:r>
    </w:p>
    <w:p w:rsidR="00035971" w:rsidRDefault="00035971">
      <w:pPr>
        <w:rPr>
          <w:rFonts w:eastAsia="Times New Roman"/>
          <w:sz w:val="24"/>
          <w:szCs w:val="24"/>
        </w:rPr>
      </w:pPr>
      <w:r>
        <w:rPr>
          <w:rFonts w:eastAsia="Times New Roman"/>
          <w:sz w:val="24"/>
          <w:szCs w:val="24"/>
        </w:rPr>
        <w:br w:type="page"/>
      </w:r>
    </w:p>
    <w:p w:rsidR="00035971" w:rsidRPr="009E3DA4" w:rsidRDefault="00035971" w:rsidP="00035971">
      <w:pPr>
        <w:spacing w:after="240"/>
        <w:ind w:left="720" w:hanging="720"/>
        <w:rPr>
          <w:rFonts w:eastAsia="Times New Roman"/>
          <w:b/>
          <w:sz w:val="24"/>
          <w:szCs w:val="24"/>
        </w:rPr>
      </w:pPr>
      <w:bookmarkStart w:id="2" w:name="a16_02"/>
      <w:bookmarkEnd w:id="2"/>
      <w:r w:rsidRPr="00035971">
        <w:rPr>
          <w:rFonts w:eastAsia="Times New Roman"/>
          <w:b/>
          <w:sz w:val="24"/>
          <w:szCs w:val="24"/>
        </w:rPr>
        <w:lastRenderedPageBreak/>
        <w:t xml:space="preserve">16:2 </w:t>
      </w:r>
      <w:r w:rsidRPr="00035971">
        <w:rPr>
          <w:rFonts w:eastAsia="Times New Roman"/>
          <w:b/>
          <w:sz w:val="24"/>
          <w:szCs w:val="24"/>
        </w:rPr>
        <w:tab/>
        <w:t>BAILOR NOT LIABLE TO THIRD PERSONS FOR NEGLIGENCE OF BAILEE</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rsidR="00035971" w:rsidRDefault="00035971" w:rsidP="00035971">
      <w:pPr>
        <w:jc w:val="center"/>
        <w:rPr>
          <w:rFonts w:eastAsia="Times New Roman"/>
          <w:sz w:val="24"/>
          <w:szCs w:val="24"/>
        </w:rPr>
      </w:pPr>
    </w:p>
    <w:p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r w:rsidRPr="00035971">
        <w:rPr>
          <w:rFonts w:eastAsia="Times New Roman"/>
          <w:b/>
          <w:sz w:val="24"/>
          <w:szCs w:val="24"/>
        </w:rPr>
        <w:t>Baker v. Bratrsovsky</w:t>
      </w:r>
      <w:r w:rsidRPr="00035971">
        <w:rPr>
          <w:rFonts w:eastAsia="Times New Roman"/>
          <w:sz w:val="24"/>
          <w:szCs w:val="24"/>
        </w:rPr>
        <w:t xml:space="preserve">, 689 P.2d 722 (Colo. App. 1984) (recognizing the doctrine of negligent entrustment, but finding it inapplicable to the facts of the case). Nor is this instruction applicable when there is some other relationship between the parties that might permit the negligence of the bailee to be imputable vicariously to the bailor. </w:t>
      </w:r>
      <w:r w:rsidRPr="00035971">
        <w:rPr>
          <w:rFonts w:eastAsia="Times New Roman"/>
          <w:i/>
          <w:sz w:val="24"/>
          <w:szCs w:val="24"/>
        </w:rPr>
        <w:t>See, e.g.</w:t>
      </w:r>
      <w:r w:rsidRPr="00035971">
        <w:rPr>
          <w:rFonts w:eastAsia="Times New Roman"/>
          <w:sz w:val="24"/>
          <w:szCs w:val="24"/>
        </w:rPr>
        <w:t>, Chapter 8 and Chapter 11, Part C.</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r w:rsidRPr="00035971">
        <w:rPr>
          <w:rFonts w:eastAsia="Times New Roman"/>
          <w:b/>
          <w:sz w:val="24"/>
          <w:szCs w:val="24"/>
        </w:rPr>
        <w:t>Otoupalik v. Phelps</w:t>
      </w:r>
      <w:r w:rsidRPr="00035971">
        <w:rPr>
          <w:rFonts w:eastAsia="Times New Roman"/>
          <w:sz w:val="24"/>
          <w:szCs w:val="24"/>
        </w:rPr>
        <w:t xml:space="preserve">, 73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rsidR="00035971" w:rsidRDefault="00035971">
      <w:pPr>
        <w:rPr>
          <w:rFonts w:eastAsia="Times New Roman"/>
          <w:sz w:val="24"/>
          <w:szCs w:val="24"/>
        </w:rPr>
      </w:pPr>
      <w:r>
        <w:rPr>
          <w:rFonts w:eastAsia="Times New Roman"/>
          <w:sz w:val="24"/>
          <w:szCs w:val="24"/>
        </w:rPr>
        <w:br w:type="page"/>
      </w:r>
    </w:p>
    <w:p w:rsidR="00035971" w:rsidRPr="009E3DA4" w:rsidRDefault="00035971" w:rsidP="00035971">
      <w:pPr>
        <w:spacing w:after="240"/>
        <w:ind w:left="720" w:hanging="720"/>
        <w:rPr>
          <w:rFonts w:eastAsia="Times New Roman"/>
          <w:b/>
          <w:sz w:val="24"/>
          <w:szCs w:val="24"/>
        </w:rPr>
      </w:pPr>
      <w:bookmarkStart w:id="3" w:name="a16_03"/>
      <w:bookmarkEnd w:id="3"/>
      <w:r w:rsidRPr="00035971">
        <w:rPr>
          <w:rFonts w:eastAsia="Times New Roman"/>
          <w:b/>
          <w:sz w:val="24"/>
          <w:szCs w:val="24"/>
        </w:rPr>
        <w:lastRenderedPageBreak/>
        <w:t xml:space="preserve">16:3 </w:t>
      </w:r>
      <w:r w:rsidRPr="00035971">
        <w:rPr>
          <w:rFonts w:eastAsia="Times New Roman"/>
          <w:b/>
          <w:sz w:val="24"/>
          <w:szCs w:val="24"/>
        </w:rPr>
        <w:tab/>
        <w:t>GRATUITOUS BAILMENT — DUTY OF BAILOR TO WARN BAILEE — DEFINITION OF NEGLIGENCE</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rsidR="00035971" w:rsidRDefault="00035971" w:rsidP="00035971">
      <w:pPr>
        <w:jc w:val="center"/>
        <w:rPr>
          <w:rFonts w:eastAsia="Times New Roman"/>
          <w:sz w:val="24"/>
          <w:szCs w:val="24"/>
        </w:rPr>
      </w:pPr>
    </w:p>
    <w:p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 Prosser &amp; W. Keeton, Torts</w:t>
      </w:r>
      <w:r w:rsidRPr="00035971">
        <w:rPr>
          <w:rFonts w:eastAsia="Times New Roman"/>
          <w:sz w:val="24"/>
          <w:szCs w:val="24"/>
        </w:rPr>
        <w:t xml:space="preserve"> § 104 (5th ed. 1984). </w:t>
      </w:r>
      <w:r w:rsidRPr="00035971">
        <w:rPr>
          <w:rFonts w:eastAsia="Times New Roman"/>
          <w:i/>
          <w:sz w:val="24"/>
          <w:szCs w:val="24"/>
        </w:rPr>
        <w:t>S</w:t>
      </w:r>
      <w:smartTag w:uri="urn:schemas-microsoft-com:office:smarttags" w:element="PersonName">
        <w:r w:rsidRPr="00035971">
          <w:rPr>
            <w:rFonts w:eastAsia="Times New Roman"/>
            <w:i/>
            <w:sz w:val="24"/>
            <w:szCs w:val="24"/>
          </w:rPr>
          <w:t>e</w:t>
        </w:r>
      </w:smartTag>
      <w:smartTag w:uri="urn:schemas-microsoft-com:office:smarttags" w:element="PersonName">
        <w:r w:rsidRPr="00035971">
          <w:rPr>
            <w:rFonts w:eastAsia="Times New Roman"/>
            <w:i/>
            <w:sz w:val="24"/>
            <w:szCs w:val="24"/>
          </w:rPr>
          <w:t>e</w:t>
        </w:r>
      </w:smartTag>
      <w:r w:rsidRPr="00035971">
        <w:rPr>
          <w:rFonts w:eastAsia="Times New Roman"/>
          <w:i/>
          <w:sz w:val="24"/>
          <w:szCs w:val="24"/>
        </w:rPr>
        <w:t xml:space="preserve"> also</w:t>
      </w:r>
      <w:r w:rsidRPr="00035971">
        <w:rPr>
          <w:rFonts w:eastAsia="Times New Roman"/>
          <w:sz w:val="24"/>
          <w:szCs w:val="24"/>
        </w:rPr>
        <w:t xml:space="preserve"> </w:t>
      </w:r>
      <w:r w:rsidRPr="00035971">
        <w:rPr>
          <w:rFonts w:eastAsia="Times New Roman"/>
          <w:smallCaps/>
          <w:sz w:val="24"/>
          <w:szCs w:val="24"/>
        </w:rPr>
        <w:t>R</w:t>
      </w:r>
      <w:smartTag w:uri="urn:schemas-microsoft-com:office:smarttags" w:element="PersonName">
        <w:r w:rsidRPr="00035971">
          <w:rPr>
            <w:rFonts w:eastAsia="Times New Roman"/>
            <w:smallCaps/>
            <w:sz w:val="24"/>
            <w:szCs w:val="24"/>
          </w:rPr>
          <w:t>e</w:t>
        </w:r>
      </w:smartTag>
      <w:r w:rsidRPr="00035971">
        <w:rPr>
          <w:rFonts w:eastAsia="Times New Roman"/>
          <w:smallCaps/>
          <w:sz w:val="24"/>
          <w:szCs w:val="24"/>
        </w:rPr>
        <w:t>stat</w:t>
      </w:r>
      <w:smartTag w:uri="urn:schemas-microsoft-com:office:smarttags" w:element="PersonName">
        <w:r w:rsidRPr="00035971">
          <w:rPr>
            <w:rFonts w:eastAsia="Times New Roman"/>
            <w:smallCaps/>
            <w:sz w:val="24"/>
            <w:szCs w:val="24"/>
          </w:rPr>
          <w:t>e</w:t>
        </w:r>
      </w:smartTag>
      <w:r w:rsidRPr="00035971">
        <w:rPr>
          <w:rFonts w:eastAsia="Times New Roman"/>
          <w:smallCaps/>
          <w:sz w:val="24"/>
          <w:szCs w:val="24"/>
        </w:rPr>
        <w:t>m</w:t>
      </w:r>
      <w:smartTag w:uri="urn:schemas-microsoft-com:office:smarttags" w:element="PersonName">
        <w:r w:rsidRPr="00035971">
          <w:rPr>
            <w:rFonts w:eastAsia="Times New Roman"/>
            <w:smallCaps/>
            <w:sz w:val="24"/>
            <w:szCs w:val="24"/>
          </w:rPr>
          <w:t>e</w:t>
        </w:r>
      </w:smartTag>
      <w:r w:rsidRPr="00035971">
        <w:rPr>
          <w:rFonts w:eastAsia="Times New Roman"/>
          <w:smallCaps/>
          <w:sz w:val="24"/>
          <w:szCs w:val="24"/>
        </w:rPr>
        <w:t>nt (S</w:t>
      </w:r>
      <w:smartTag w:uri="urn:schemas-microsoft-com:office:smarttags" w:element="PersonName">
        <w:r w:rsidRPr="00035971">
          <w:rPr>
            <w:rFonts w:eastAsia="Times New Roman"/>
            <w:smallCaps/>
            <w:sz w:val="24"/>
            <w:szCs w:val="24"/>
          </w:rPr>
          <w:t>e</w:t>
        </w:r>
      </w:smartTag>
      <w:r w:rsidRPr="00035971">
        <w:rPr>
          <w:rFonts w:eastAsia="Times New Roman"/>
          <w:smallCaps/>
          <w:sz w:val="24"/>
          <w:szCs w:val="24"/>
        </w:rPr>
        <w:t>cond) of Torts</w:t>
      </w:r>
      <w:r w:rsidRPr="00035971">
        <w:rPr>
          <w:rFonts w:eastAsia="Times New Roman"/>
          <w:sz w:val="24"/>
          <w:szCs w:val="24"/>
        </w:rPr>
        <w:t xml:space="preserve"> § 405 (1965).</w:t>
      </w:r>
    </w:p>
    <w:p w:rsidR="00FD2B6D" w:rsidRDefault="00FD2B6D">
      <w:pPr>
        <w:rPr>
          <w:rFonts w:eastAsia="Times New Roman"/>
          <w:sz w:val="24"/>
          <w:szCs w:val="24"/>
        </w:rPr>
      </w:pPr>
      <w:r>
        <w:rPr>
          <w:rFonts w:eastAsia="Times New Roman"/>
          <w:sz w:val="24"/>
          <w:szCs w:val="24"/>
        </w:rPr>
        <w:br w:type="page"/>
      </w:r>
    </w:p>
    <w:p w:rsidR="00FD2B6D" w:rsidRPr="009E3DA4" w:rsidRDefault="00FD2B6D" w:rsidP="00FD2B6D">
      <w:pPr>
        <w:spacing w:after="240"/>
        <w:ind w:left="720" w:hanging="720"/>
        <w:rPr>
          <w:rFonts w:eastAsia="Times New Roman"/>
          <w:b/>
          <w:sz w:val="24"/>
          <w:szCs w:val="24"/>
        </w:rPr>
      </w:pPr>
      <w:bookmarkStart w:id="4" w:name="a16_04"/>
      <w:bookmarkEnd w:id="4"/>
      <w:r w:rsidRPr="00FD2B6D">
        <w:rPr>
          <w:rFonts w:eastAsia="Times New Roman"/>
          <w:b/>
          <w:sz w:val="24"/>
          <w:szCs w:val="24"/>
        </w:rPr>
        <w:lastRenderedPageBreak/>
        <w:t xml:space="preserve">16:4 </w:t>
      </w:r>
      <w:r w:rsidRPr="00FD2B6D">
        <w:rPr>
          <w:rFonts w:eastAsia="Times New Roman"/>
          <w:b/>
          <w:sz w:val="24"/>
          <w:szCs w:val="24"/>
        </w:rPr>
        <w:tab/>
        <w:t>NON-GRATUITOUS BAILMENT — DUTY OF NON-COMMERCIAL BAILOR TO BAILEE — DEFINITION OF NEGLIGENCE</w:t>
      </w:r>
    </w:p>
    <w:p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1. repairing or giving warning of any known defects or conditions; and</w:t>
      </w:r>
    </w:p>
    <w:p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2. inspecting the item(s) and repairing or giving warning of any defects or conditions that could be discovered by a reasonable inspection.</w:t>
      </w:r>
    </w:p>
    <w:p w:rsidR="00FD2B6D" w:rsidRDefault="00FD2B6D" w:rsidP="00FD2B6D">
      <w:pPr>
        <w:jc w:val="center"/>
        <w:rPr>
          <w:rFonts w:eastAsia="Times New Roman"/>
          <w:sz w:val="24"/>
          <w:szCs w:val="24"/>
        </w:rPr>
      </w:pPr>
    </w:p>
    <w:p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Products liability: application of strict liability in tort doctrine to lessor of personal property, 52 ALR3d 121. In such cases, instructions similar to those in Chapter 14, Parts B and C, dealing with comparable cases involving sellers of personal property, may be more appropriate than this instruction.</w:t>
      </w:r>
    </w:p>
    <w:p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Pross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r &amp; W. K</w:t>
      </w:r>
      <w:smartTag w:uri="urn:schemas-microsoft-com:office:smarttags" w:element="PersonName">
        <w:r w:rsidRPr="00FD2B6D">
          <w:rPr>
            <w:rFonts w:eastAsia="Times New Roman"/>
            <w:smallCaps/>
            <w:sz w:val="24"/>
            <w:szCs w:val="24"/>
          </w:rPr>
          <w:t>e</w:t>
        </w:r>
      </w:smartTag>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ton, Torts</w:t>
      </w:r>
      <w:r w:rsidRPr="00FD2B6D">
        <w:rPr>
          <w:rFonts w:eastAsia="Times New Roman"/>
          <w:sz w:val="24"/>
          <w:szCs w:val="24"/>
        </w:rPr>
        <w:t xml:space="preserve"> § 104 (5th </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rsidR="00FD2B6D" w:rsidRDefault="00FD2B6D">
      <w:pPr>
        <w:rPr>
          <w:rFonts w:eastAsia="Times New Roman"/>
          <w:sz w:val="24"/>
          <w:szCs w:val="24"/>
        </w:rPr>
      </w:pPr>
      <w:r>
        <w:rPr>
          <w:rFonts w:eastAsia="Times New Roman"/>
          <w:sz w:val="24"/>
          <w:szCs w:val="24"/>
        </w:rPr>
        <w:br w:type="page"/>
      </w:r>
    </w:p>
    <w:p w:rsidR="00FD2B6D" w:rsidRPr="009E3DA4" w:rsidRDefault="00FD2B6D" w:rsidP="00FD2B6D">
      <w:pPr>
        <w:spacing w:after="240"/>
        <w:ind w:left="720" w:hanging="720"/>
        <w:rPr>
          <w:rFonts w:eastAsia="Times New Roman"/>
          <w:b/>
          <w:sz w:val="24"/>
          <w:szCs w:val="24"/>
        </w:rPr>
      </w:pPr>
      <w:bookmarkStart w:id="5" w:name="a16_05"/>
      <w:bookmarkEnd w:id="5"/>
      <w:r w:rsidRPr="00FD2B6D">
        <w:rPr>
          <w:rFonts w:eastAsia="Times New Roman"/>
          <w:b/>
          <w:sz w:val="24"/>
          <w:szCs w:val="24"/>
        </w:rPr>
        <w:lastRenderedPageBreak/>
        <w:t xml:space="preserve">16:5 </w:t>
      </w:r>
      <w:r w:rsidRPr="00FD2B6D">
        <w:rPr>
          <w:rFonts w:eastAsia="Times New Roman"/>
          <w:b/>
          <w:sz w:val="24"/>
          <w:szCs w:val="24"/>
        </w:rPr>
        <w:tab/>
        <w:t>DUTY OF BAILEE TO BAILOR</w:t>
      </w:r>
    </w:p>
    <w:p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rsidR="00FD2B6D" w:rsidRDefault="00FD2B6D" w:rsidP="00FD2B6D">
      <w:pPr>
        <w:jc w:val="center"/>
        <w:rPr>
          <w:rFonts w:eastAsia="Times New Roman"/>
          <w:sz w:val="24"/>
          <w:szCs w:val="24"/>
        </w:rPr>
      </w:pPr>
    </w:p>
    <w:p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b/>
          <w:sz w:val="24"/>
          <w:szCs w:val="24"/>
        </w:rPr>
        <w:t>Christensen v. Hoover</w:t>
      </w:r>
      <w:r w:rsidRPr="00FD2B6D">
        <w:rPr>
          <w:rFonts w:eastAsia="Times New Roman"/>
          <w:sz w:val="24"/>
          <w:szCs w:val="24"/>
        </w:rPr>
        <w:t>, 643 P.2d 525 (Colo. 1982). It also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mutual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smartTag w:uri="urn:schemas-microsoft-com:office:smarttags" w:element="PersonName">
        <w:r w:rsidRPr="00FD2B6D">
          <w:rPr>
            <w:rFonts w:eastAsia="Times New Roman"/>
            <w:sz w:val="24"/>
            <w:szCs w:val="24"/>
          </w:rPr>
          <w:t>e</w:t>
        </w:r>
      </w:smartTag>
      <w:r w:rsidRPr="00FD2B6D">
        <w:rPr>
          <w:rFonts w:eastAsia="Times New Roman"/>
          <w:sz w:val="24"/>
          <w:szCs w:val="24"/>
        </w:rPr>
        <w:t>.g., a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 for hir</w:t>
      </w:r>
      <w:smartTag w:uri="urn:schemas-microsoft-com:office:smarttags" w:element="PersonName">
        <w:r w:rsidRPr="00FD2B6D">
          <w:rPr>
            <w:rFonts w:eastAsia="Times New Roman"/>
            <w:sz w:val="24"/>
            <w:szCs w:val="24"/>
          </w:rPr>
          <w:t>e</w:t>
        </w:r>
      </w:smartTag>
      <w:r w:rsidRPr="00FD2B6D">
        <w:rPr>
          <w:rFonts w:eastAsia="Times New Roman"/>
          <w:sz w:val="24"/>
          <w:szCs w:val="24"/>
        </w:rPr>
        <w:t>.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Id.</w:t>
      </w:r>
      <w:r w:rsidRPr="00FD2B6D">
        <w:rPr>
          <w:rFonts w:eastAsia="Times New Roman"/>
          <w:sz w:val="24"/>
          <w:szCs w:val="24"/>
        </w:rPr>
        <w:t xml:space="preserve"> at 525.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16:6. Where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 is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sol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a high</w:t>
      </w:r>
      <w:smartTag w:uri="urn:schemas-microsoft-com:office:smarttags" w:element="PersonName">
        <w:r w:rsidRPr="00FD2B6D">
          <w:rPr>
            <w:rFonts w:eastAsia="Times New Roman"/>
            <w:sz w:val="24"/>
            <w:szCs w:val="24"/>
          </w:rPr>
          <w:t>e</w:t>
        </w:r>
      </w:smartTag>
      <w:r w:rsidRPr="00FD2B6D">
        <w:rPr>
          <w:rFonts w:eastAsia="Times New Roman"/>
          <w:sz w:val="24"/>
          <w:szCs w:val="24"/>
        </w:rPr>
        <w:t>r standard of car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may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quir</w:t>
      </w:r>
      <w:smartTag w:uri="urn:schemas-microsoft-com:office:smarttags" w:element="PersonName">
        <w:r w:rsidRPr="00FD2B6D">
          <w:rPr>
            <w:rFonts w:eastAsia="Times New Roman"/>
            <w:sz w:val="24"/>
            <w:szCs w:val="24"/>
          </w:rPr>
          <w:t>e</w:t>
        </w:r>
      </w:smartTag>
      <w:r w:rsidRPr="00FD2B6D">
        <w:rPr>
          <w:rFonts w:eastAsia="Times New Roman"/>
          <w:sz w:val="24"/>
          <w:szCs w:val="24"/>
        </w:rPr>
        <w:t>d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sz w:val="24"/>
          <w:szCs w:val="24"/>
        </w:rPr>
        <w:t xml:space="preserve"> </w:t>
      </w:r>
      <w:r w:rsidRPr="00FD2B6D">
        <w:rPr>
          <w:rFonts w:eastAsia="Times New Roman"/>
          <w:smallCaps/>
          <w:sz w:val="24"/>
          <w:szCs w:val="24"/>
        </w:rPr>
        <w:t>R. Brown, P</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rsonal Prop</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rty</w:t>
      </w:r>
      <w:r w:rsidRPr="00FD2B6D">
        <w:rPr>
          <w:rFonts w:eastAsia="Times New Roman"/>
          <w:sz w:val="24"/>
          <w:szCs w:val="24"/>
        </w:rPr>
        <w:t xml:space="preserve"> § 82 (2d </w:t>
      </w:r>
      <w:smartTag w:uri="urn:schemas-microsoft-com:office:smarttags" w:element="PersonName">
        <w:r w:rsidRPr="00FD2B6D">
          <w:rPr>
            <w:rFonts w:eastAsia="Times New Roman"/>
            <w:sz w:val="24"/>
            <w:szCs w:val="24"/>
          </w:rPr>
          <w:t>e</w:t>
        </w:r>
      </w:smartTag>
      <w:r w:rsidRPr="00FD2B6D">
        <w:rPr>
          <w:rFonts w:eastAsia="Times New Roman"/>
          <w:sz w:val="24"/>
          <w:szCs w:val="24"/>
        </w:rPr>
        <w:t>d. 1955). In such cases, this instruction must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ly modifi</w:t>
      </w:r>
      <w:smartTag w:uri="urn:schemas-microsoft-com:office:smarttags" w:element="PersonName">
        <w:r w:rsidRPr="00FD2B6D">
          <w:rPr>
            <w:rFonts w:eastAsia="Times New Roman"/>
            <w:sz w:val="24"/>
            <w:szCs w:val="24"/>
          </w:rPr>
          <w:t>e</w:t>
        </w:r>
      </w:smartTag>
      <w:r w:rsidRPr="00FD2B6D">
        <w:rPr>
          <w:rFonts w:eastAsia="Times New Roman"/>
          <w:sz w:val="24"/>
          <w:szCs w:val="24"/>
        </w:rPr>
        <w:t>d.</w:t>
      </w:r>
    </w:p>
    <w:p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 v. Hoover</w:t>
      </w:r>
      <w:r w:rsidRPr="00FD2B6D">
        <w:rPr>
          <w:rFonts w:eastAsia="Times New Roman"/>
          <w:sz w:val="24"/>
          <w:szCs w:val="24"/>
        </w:rPr>
        <w:t>, 643 P.2d 525 (</w:t>
      </w:r>
      <w:smartTag w:uri="urn:schemas-microsoft-com:office:smarttags" w:element="place">
        <w:smartTag w:uri="urn:schemas-microsoft-com:office:smarttags" w:element="State">
          <w:r w:rsidRPr="00FD2B6D">
            <w:rPr>
              <w:rFonts w:eastAsia="Times New Roman"/>
              <w:sz w:val="24"/>
              <w:szCs w:val="24"/>
            </w:rPr>
            <w:t>Colo.</w:t>
          </w:r>
        </w:smartTag>
      </w:smartTag>
      <w:r w:rsidRPr="00FD2B6D">
        <w:rPr>
          <w:rFonts w:eastAsia="Times New Roman"/>
          <w:sz w:val="24"/>
          <w:szCs w:val="24"/>
        </w:rPr>
        <w:t xml:space="preserve"> 1982).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misdelivery of bailed property constitutes a conversion of the property for which a plaintiff may be entitled to recover purely economic damages. </w:t>
      </w:r>
      <w:r w:rsidRPr="00FD2B6D">
        <w:rPr>
          <w:rFonts w:eastAsia="Times New Roman"/>
          <w:i/>
          <w:sz w:val="24"/>
          <w:szCs w:val="24"/>
        </w:rPr>
        <w:t>See, e.g</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778 P.2d 328 (Colo.</w:t>
      </w:r>
      <w:r w:rsidR="009D4FED">
        <w:rPr>
          <w:rFonts w:eastAsia="Times New Roman"/>
          <w:sz w:val="24"/>
          <w:szCs w:val="24"/>
        </w:rPr>
        <w:t xml:space="preserve"> </w:t>
      </w:r>
      <w:r w:rsidRPr="00FD2B6D">
        <w:rPr>
          <w:rFonts w:eastAsia="Times New Roman"/>
          <w:sz w:val="24"/>
          <w:szCs w:val="24"/>
        </w:rPr>
        <w:t>App. 1989).</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Pr="00FD2B6D">
        <w:rPr>
          <w:rFonts w:eastAsia="Times New Roman"/>
          <w:b/>
          <w:sz w:val="24"/>
          <w:szCs w:val="24"/>
        </w:rPr>
        <w:t>Montoya v. Connolly’s Towing</w:t>
      </w:r>
      <w:r w:rsidRPr="00FD2B6D">
        <w:rPr>
          <w:rFonts w:eastAsia="Times New Roman"/>
          <w:sz w:val="24"/>
          <w:szCs w:val="24"/>
        </w:rPr>
        <w:t>, 216 P.3d 98(Colo.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20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rsidR="00FD2B6D" w:rsidRDefault="00FD2B6D">
      <w:pPr>
        <w:rPr>
          <w:rFonts w:eastAsia="Times New Roman"/>
          <w:sz w:val="24"/>
          <w:szCs w:val="24"/>
        </w:rPr>
      </w:pPr>
      <w:r>
        <w:rPr>
          <w:rFonts w:eastAsia="Times New Roman"/>
          <w:sz w:val="24"/>
          <w:szCs w:val="24"/>
        </w:rPr>
        <w:br w:type="page"/>
      </w:r>
    </w:p>
    <w:p w:rsidR="00FD2B6D" w:rsidRPr="009E3DA4" w:rsidRDefault="00FD2B6D" w:rsidP="00FD2B6D">
      <w:pPr>
        <w:spacing w:after="240"/>
        <w:ind w:left="720" w:hanging="720"/>
        <w:rPr>
          <w:rFonts w:eastAsia="Times New Roman"/>
          <w:b/>
          <w:sz w:val="24"/>
          <w:szCs w:val="24"/>
        </w:rPr>
      </w:pPr>
      <w:bookmarkStart w:id="6" w:name="a16_06"/>
      <w:bookmarkEnd w:id="6"/>
      <w:r w:rsidRPr="00FD2B6D">
        <w:rPr>
          <w:rFonts w:eastAsia="Times New Roman"/>
          <w:b/>
          <w:sz w:val="24"/>
          <w:szCs w:val="24"/>
        </w:rPr>
        <w:lastRenderedPageBreak/>
        <w:t xml:space="preserve">16:6 </w:t>
      </w:r>
      <w:r w:rsidRPr="00FD2B6D">
        <w:rPr>
          <w:rFonts w:eastAsia="Times New Roman"/>
          <w:b/>
          <w:sz w:val="24"/>
          <w:szCs w:val="24"/>
        </w:rPr>
        <w:tab/>
        <w:t>FAILURE OF BAILEE TO RETURN PROPERTY OR RETURN IT IN UNDAMAGED CONDITION — PRESUMPTION OF NEGLIGENCE</w:t>
      </w:r>
    </w:p>
    <w:p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Chapman v. Harner</w:t>
      </w:r>
      <w:r w:rsidRPr="00FD2B6D">
        <w:rPr>
          <w:rFonts w:eastAsia="Times New Roman"/>
          <w:i/>
          <w:sz w:val="24"/>
          <w:szCs w:val="24"/>
        </w:rPr>
        <w:t xml:space="preserve">, 2014 CO 78, 339 P.3d 519, and </w:t>
      </w:r>
      <w:r w:rsidRPr="00FD2B6D">
        <w:rPr>
          <w:rFonts w:eastAsia="Times New Roman"/>
          <w:b/>
          <w:i/>
          <w:sz w:val="24"/>
          <w:szCs w:val="24"/>
        </w:rPr>
        <w:t>Krueger v. Ary</w:t>
      </w:r>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250 P.3d at 1154. If the presumption applies and is not rebutted by legally sufficient evidence, then the presumed fact is established as a matter of law. Id.</w:t>
      </w:r>
      <w:r w:rsidRPr="00FD2B6D">
        <w:rPr>
          <w:rFonts w:eastAsia="Times New Roman"/>
          <w:b/>
          <w:bCs/>
          <w:i/>
          <w:iCs/>
          <w:sz w:val="24"/>
          <w:szCs w:val="24"/>
        </w:rPr>
        <w:t xml:space="preserve"> </w:t>
      </w:r>
      <w:r w:rsidRPr="00FD2B6D">
        <w:rPr>
          <w:rFonts w:eastAsia="Times New Roman"/>
          <w:bCs/>
          <w:i/>
          <w:iCs/>
          <w:sz w:val="24"/>
          <w:szCs w:val="24"/>
        </w:rPr>
        <w:t>at 1156.</w:t>
      </w:r>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205 P.3d at 1154, 1156. In neither scenario is the jury instructed about the presumption.  See Instruction 3:5 and its Notes on Use.</w:t>
      </w:r>
    </w:p>
    <w:p w:rsidR="00FD2B6D" w:rsidRPr="00FD2B6D" w:rsidRDefault="00FD2B6D" w:rsidP="00FD2B6D">
      <w:pPr>
        <w:spacing w:after="240"/>
        <w:rPr>
          <w:rFonts w:eastAsia="Times New Roman"/>
          <w:i/>
          <w:sz w:val="24"/>
          <w:szCs w:val="24"/>
        </w:rPr>
      </w:pPr>
      <w:r w:rsidRPr="00FD2B6D">
        <w:rPr>
          <w:rFonts w:eastAsia="Times New Roman"/>
          <w:i/>
          <w:sz w:val="24"/>
          <w:szCs w:val="24"/>
        </w:rPr>
        <w:t>However, these two cases address only: (a) the presumption of negligence arising from res ipsa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rsidR="00FD2B6D" w:rsidRDefault="00FD2B6D" w:rsidP="00FD2B6D">
      <w:pPr>
        <w:jc w:val="center"/>
        <w:rPr>
          <w:rFonts w:eastAsia="Times New Roman"/>
          <w:sz w:val="24"/>
          <w:szCs w:val="24"/>
        </w:rPr>
      </w:pPr>
    </w:p>
    <w:p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1. As explained and illustrated in the Notes on Use to Instruction 3:5, this instruction, when otherwise applicable, may be used as the second paragraph of Instruction 3:5.</w:t>
      </w:r>
    </w:p>
    <w:p w:rsidR="00FD2B6D" w:rsidRPr="00FD2B6D" w:rsidRDefault="00FD2B6D" w:rsidP="00FD2B6D">
      <w:pPr>
        <w:spacing w:after="240"/>
        <w:ind w:firstLine="720"/>
        <w:rPr>
          <w:rFonts w:eastAsia="Times New Roman"/>
          <w:sz w:val="24"/>
          <w:szCs w:val="24"/>
        </w:rPr>
      </w:pPr>
    </w:p>
    <w:p w:rsidR="00FD2B6D" w:rsidRPr="00FD2B6D" w:rsidRDefault="00FD2B6D" w:rsidP="00FD2B6D">
      <w:pPr>
        <w:spacing w:after="240"/>
        <w:ind w:firstLine="720"/>
        <w:rPr>
          <w:rFonts w:eastAsia="Times New Roman"/>
          <w:b/>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rsidR="00FD2B6D" w:rsidRPr="00FD2B6D" w:rsidRDefault="00FD2B6D" w:rsidP="00FD2B6D">
      <w:pPr>
        <w:spacing w:after="240"/>
        <w:ind w:firstLine="720"/>
        <w:rPr>
          <w:rFonts w:eastAsia="Times New Roman"/>
          <w:sz w:val="24"/>
          <w:szCs w:val="24"/>
        </w:rPr>
      </w:pP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
    <w:p w:rsidR="00FD2B6D" w:rsidRPr="00FD2B6D" w:rsidRDefault="00FD2B6D" w:rsidP="00FD2B6D">
      <w:pPr>
        <w:spacing w:after="240"/>
        <w:ind w:firstLine="720"/>
        <w:rPr>
          <w:rFonts w:eastAsia="Times New Roman"/>
          <w:sz w:val="24"/>
          <w:szCs w:val="24"/>
        </w:rPr>
      </w:pP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lastRenderedPageBreak/>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rsidR="00FD2B6D" w:rsidRPr="00FD2B6D" w:rsidRDefault="00FD2B6D" w:rsidP="00FD2B6D">
      <w:pPr>
        <w:spacing w:after="240"/>
        <w:ind w:firstLine="720"/>
        <w:rPr>
          <w:rFonts w:eastAsia="Times New Roman"/>
          <w:sz w:val="24"/>
          <w:szCs w:val="24"/>
        </w:rPr>
      </w:pP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5. This instruction is not applicable to a claim for conversion of bailed property, but only to a claim for negligence where the conditions set forth in the instruction are established. </w:t>
      </w:r>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
    <w:p w:rsidR="00FD2B6D" w:rsidRPr="00FD2B6D" w:rsidRDefault="00FD2B6D" w:rsidP="00FD2B6D">
      <w:pPr>
        <w:spacing w:after="240"/>
        <w:ind w:firstLine="720"/>
        <w:rPr>
          <w:rFonts w:eastAsia="Times New Roman"/>
          <w:sz w:val="24"/>
          <w:szCs w:val="24"/>
        </w:rPr>
      </w:pPr>
    </w:p>
    <w:p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In re Marriage of Amich</w:t>
      </w:r>
      <w:r w:rsidRPr="00FD2B6D">
        <w:rPr>
          <w:rFonts w:eastAsia="Times New Roman"/>
          <w:sz w:val="24"/>
          <w:szCs w:val="24"/>
        </w:rPr>
        <w:t>, 192 P.3d at 426-27.</w:t>
      </w:r>
    </w:p>
    <w:p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xml:space="preserve">, 2014 COA 18, ¶ 19; and </w:t>
      </w:r>
      <w:r w:rsidRPr="00FD2B6D">
        <w:rPr>
          <w:rFonts w:eastAsia="Times New Roman"/>
          <w:b/>
          <w:sz w:val="24"/>
          <w:szCs w:val="24"/>
        </w:rPr>
        <w:t>Motor Crane Service Co.</w:t>
      </w:r>
      <w:r w:rsidRPr="00FD2B6D">
        <w:rPr>
          <w:rFonts w:eastAsia="Times New Roman"/>
          <w:sz w:val="24"/>
          <w:szCs w:val="24"/>
        </w:rPr>
        <w:t xml:space="preserve">, 650 P.2d at 1330-31.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smallCaps/>
          <w:sz w:val="24"/>
          <w:szCs w:val="24"/>
        </w:rPr>
        <w:t>R. Brown, Personal Property</w:t>
      </w:r>
      <w:r w:rsidRPr="00FD2B6D">
        <w:rPr>
          <w:rFonts w:eastAsia="Times New Roman"/>
          <w:sz w:val="24"/>
          <w:szCs w:val="24"/>
        </w:rPr>
        <w:t xml:space="preserve"> § 87 (2d ed. 1955).</w:t>
      </w:r>
    </w:p>
    <w:sectPr w:rsidR="00035971"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A9" w:rsidRDefault="00451AA9" w:rsidP="0054263B">
      <w:r>
        <w:separator/>
      </w:r>
    </w:p>
    <w:p w:rsidR="00451AA9" w:rsidRDefault="00451AA9"/>
  </w:endnote>
  <w:endnote w:type="continuationSeparator" w:id="0">
    <w:p w:rsidR="00451AA9" w:rsidRDefault="00451AA9" w:rsidP="0054263B">
      <w:r>
        <w:continuationSeparator/>
      </w:r>
    </w:p>
    <w:p w:rsidR="00451AA9" w:rsidRDefault="00451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5F4E41">
          <w:rPr>
            <w:noProof/>
          </w:rPr>
          <w:t>8</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A9" w:rsidRDefault="00451AA9" w:rsidP="0054263B">
      <w:r>
        <w:separator/>
      </w:r>
    </w:p>
    <w:p w:rsidR="00451AA9" w:rsidRDefault="00451AA9"/>
  </w:footnote>
  <w:footnote w:type="continuationSeparator" w:id="0">
    <w:p w:rsidR="00451AA9" w:rsidRDefault="00451AA9" w:rsidP="0054263B">
      <w:r>
        <w:continuationSeparator/>
      </w:r>
    </w:p>
    <w:p w:rsidR="00451AA9" w:rsidRDefault="00451A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5971"/>
    <w:rsid w:val="00037111"/>
    <w:rsid w:val="0006367C"/>
    <w:rsid w:val="000824C8"/>
    <w:rsid w:val="00085495"/>
    <w:rsid w:val="000921F1"/>
    <w:rsid w:val="000962C8"/>
    <w:rsid w:val="000B1B7A"/>
    <w:rsid w:val="000C204E"/>
    <w:rsid w:val="000C503A"/>
    <w:rsid w:val="000C6F97"/>
    <w:rsid w:val="000E6753"/>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1DC8"/>
    <w:rsid w:val="0090292A"/>
    <w:rsid w:val="00902A25"/>
    <w:rsid w:val="00914128"/>
    <w:rsid w:val="00932723"/>
    <w:rsid w:val="00935DA8"/>
    <w:rsid w:val="00936D0A"/>
    <w:rsid w:val="00952BBB"/>
    <w:rsid w:val="0095709A"/>
    <w:rsid w:val="009725D8"/>
    <w:rsid w:val="00973884"/>
    <w:rsid w:val="00976FDF"/>
    <w:rsid w:val="009902F2"/>
    <w:rsid w:val="009931B9"/>
    <w:rsid w:val="009B6746"/>
    <w:rsid w:val="009C505E"/>
    <w:rsid w:val="009D4FED"/>
    <w:rsid w:val="009E20C7"/>
    <w:rsid w:val="009E3DA4"/>
    <w:rsid w:val="00A110C7"/>
    <w:rsid w:val="00A36457"/>
    <w:rsid w:val="00A36B31"/>
    <w:rsid w:val="00A632A0"/>
    <w:rsid w:val="00A73AE6"/>
    <w:rsid w:val="00A80C10"/>
    <w:rsid w:val="00A82D0A"/>
    <w:rsid w:val="00A85AAA"/>
    <w:rsid w:val="00A92C18"/>
    <w:rsid w:val="00AB2019"/>
    <w:rsid w:val="00AB71A7"/>
    <w:rsid w:val="00AC78F7"/>
    <w:rsid w:val="00AD2536"/>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2CB7"/>
    <w:rsid w:val="00DF3BF1"/>
    <w:rsid w:val="00E007F8"/>
    <w:rsid w:val="00E058BA"/>
    <w:rsid w:val="00E111AA"/>
    <w:rsid w:val="00E172C8"/>
    <w:rsid w:val="00E24E10"/>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573CF"/>
    <w:rsid w:val="00F57A2B"/>
    <w:rsid w:val="00F658E5"/>
    <w:rsid w:val="00F764F4"/>
    <w:rsid w:val="00F77276"/>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2018-02-15T05:42:00Z</dcterms:created>
  <dcterms:modified xsi:type="dcterms:W3CDTF">2018-04-20T17:48:00Z</dcterms:modified>
</cp:coreProperties>
</file>