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19D42" w14:textId="5FAA74AF" w:rsidR="00CA41CC" w:rsidRPr="00914128" w:rsidRDefault="0068336D" w:rsidP="00914128">
      <w:pPr>
        <w:pStyle w:val="Heading1"/>
      </w:pPr>
      <w:r>
        <w:t xml:space="preserve">CHAPTER </w:t>
      </w:r>
      <w:r w:rsidR="00F94DD6">
        <w:t>25</w:t>
      </w:r>
    </w:p>
    <w:p w14:paraId="110AF13A" w14:textId="77777777" w:rsidR="00EC7C98" w:rsidRPr="00914128" w:rsidRDefault="00F94DD6" w:rsidP="00914128">
      <w:pPr>
        <w:pStyle w:val="Heading1"/>
      </w:pPr>
      <w:r w:rsidRPr="00F94DD6">
        <w:t>BAD FAITH BREACH</w:t>
      </w:r>
      <w:r>
        <w:t xml:space="preserve"> </w:t>
      </w:r>
      <w:r w:rsidRPr="00F94DD6">
        <w:t>OF INSURANCE CONTRACT</w:t>
      </w:r>
    </w:p>
    <w:p w14:paraId="6BD50879" w14:textId="77777777" w:rsidR="00EC7C98" w:rsidRDefault="00AE71EA" w:rsidP="00914128">
      <w:pPr>
        <w:pStyle w:val="ToC"/>
      </w:pPr>
      <w:hyperlink w:anchor="a25_01" w:history="1">
        <w:r w:rsidR="00232C53" w:rsidRPr="00107079">
          <w:rPr>
            <w:rStyle w:val="Hyperlink"/>
          </w:rPr>
          <w:t>25:1</w:t>
        </w:r>
      </w:hyperlink>
      <w:r w:rsidR="00232C53" w:rsidRPr="00107079">
        <w:t xml:space="preserve"> </w:t>
      </w:r>
      <w:r w:rsidR="00232C53" w:rsidRPr="00107079">
        <w:tab/>
        <w:t xml:space="preserve">Elements </w:t>
      </w:r>
      <w:r w:rsidR="00232C53">
        <w:t>of</w:t>
      </w:r>
      <w:r w:rsidR="00232C53" w:rsidRPr="00107079">
        <w:t xml:space="preserve"> Liability — Third-Party Claims</w:t>
      </w:r>
    </w:p>
    <w:p w14:paraId="66B2F1F5" w14:textId="77777777" w:rsidR="00107079" w:rsidRDefault="00AE71EA" w:rsidP="00914128">
      <w:pPr>
        <w:pStyle w:val="ToC"/>
      </w:pPr>
      <w:hyperlink w:anchor="a25_02" w:history="1">
        <w:r w:rsidR="00232C53" w:rsidRPr="00107079">
          <w:rPr>
            <w:rStyle w:val="Hyperlink"/>
          </w:rPr>
          <w:t>25:2</w:t>
        </w:r>
      </w:hyperlink>
      <w:r w:rsidR="00232C53" w:rsidRPr="00107079">
        <w:t xml:space="preserve"> </w:t>
      </w:r>
      <w:r w:rsidR="00232C53" w:rsidRPr="00107079">
        <w:tab/>
        <w:t xml:space="preserve">Elements </w:t>
      </w:r>
      <w:r w:rsidR="00232C53">
        <w:t>of</w:t>
      </w:r>
      <w:r w:rsidR="00232C53" w:rsidRPr="00107079">
        <w:t xml:space="preserve"> Liability — First-Party Common-Law Claims</w:t>
      </w:r>
    </w:p>
    <w:p w14:paraId="79F92256" w14:textId="77777777" w:rsidR="00107079" w:rsidRDefault="00AE71EA" w:rsidP="00914128">
      <w:pPr>
        <w:pStyle w:val="ToC"/>
      </w:pPr>
      <w:hyperlink w:anchor="a25_03" w:history="1">
        <w:r w:rsidR="00232C53" w:rsidRPr="00107079">
          <w:rPr>
            <w:rStyle w:val="Hyperlink"/>
          </w:rPr>
          <w:t>25:3</w:t>
        </w:r>
      </w:hyperlink>
      <w:r w:rsidR="00232C53" w:rsidRPr="00107079">
        <w:t xml:space="preserve"> </w:t>
      </w:r>
      <w:r w:rsidR="00232C53" w:rsidRPr="00107079">
        <w:tab/>
        <w:t xml:space="preserve">Unreasonable Conduct/Unreasonable </w:t>
      </w:r>
      <w:r w:rsidR="00232C53">
        <w:t xml:space="preserve">Position — Common-Law Claims — </w:t>
      </w:r>
      <w:r w:rsidR="00232C53" w:rsidRPr="00107079">
        <w:t>Defined</w:t>
      </w:r>
    </w:p>
    <w:p w14:paraId="65A73161" w14:textId="77777777" w:rsidR="00107079" w:rsidRDefault="00AE71EA" w:rsidP="00914128">
      <w:pPr>
        <w:pStyle w:val="ToC"/>
      </w:pPr>
      <w:hyperlink w:anchor="a25_04" w:history="1">
        <w:r w:rsidR="00232C53" w:rsidRPr="00107079">
          <w:rPr>
            <w:rStyle w:val="Hyperlink"/>
          </w:rPr>
          <w:t>25:4</w:t>
        </w:r>
      </w:hyperlink>
      <w:r w:rsidR="00232C53" w:rsidRPr="00107079">
        <w:t xml:space="preserve"> </w:t>
      </w:r>
      <w:r w:rsidR="00232C53" w:rsidRPr="00107079">
        <w:tab/>
        <w:t xml:space="preserve">Elements </w:t>
      </w:r>
      <w:r w:rsidR="00232C53">
        <w:t>of</w:t>
      </w:r>
      <w:r w:rsidR="00232C53" w:rsidRPr="00107079">
        <w:t xml:space="preserve"> Liability — First-Party Statutory Claims</w:t>
      </w:r>
    </w:p>
    <w:p w14:paraId="5A1E450E" w14:textId="2A1D178F" w:rsidR="00107079" w:rsidRDefault="00AE71EA" w:rsidP="00914128">
      <w:pPr>
        <w:pStyle w:val="ToC"/>
      </w:pPr>
      <w:hyperlink w:anchor="a25_05" w:history="1">
        <w:r w:rsidR="00232C53" w:rsidRPr="00107079">
          <w:rPr>
            <w:rStyle w:val="Hyperlink"/>
          </w:rPr>
          <w:t>25:5</w:t>
        </w:r>
      </w:hyperlink>
      <w:r w:rsidR="00232C53" w:rsidRPr="00107079">
        <w:tab/>
        <w:t xml:space="preserve">Unreasonable Delay </w:t>
      </w:r>
      <w:r w:rsidR="00232C53">
        <w:t>or</w:t>
      </w:r>
      <w:r w:rsidR="00232C53" w:rsidRPr="00107079">
        <w:t xml:space="preserve"> Denial</w:t>
      </w:r>
    </w:p>
    <w:p w14:paraId="564C1CBA" w14:textId="77777777" w:rsidR="00107079" w:rsidRDefault="00AE71EA" w:rsidP="00914128">
      <w:pPr>
        <w:pStyle w:val="ToC"/>
      </w:pPr>
      <w:hyperlink w:anchor="a25_06" w:history="1">
        <w:r w:rsidR="00232C53" w:rsidRPr="00107079">
          <w:rPr>
            <w:rStyle w:val="Hyperlink"/>
          </w:rPr>
          <w:t>25:6</w:t>
        </w:r>
      </w:hyperlink>
      <w:r w:rsidR="00232C53" w:rsidRPr="00107079">
        <w:t xml:space="preserve"> </w:t>
      </w:r>
      <w:r w:rsidR="00232C53" w:rsidRPr="00107079">
        <w:tab/>
        <w:t>Unreasonable Conduct/Unreasonable Position — Statutory Violations — Defined</w:t>
      </w:r>
    </w:p>
    <w:p w14:paraId="40F6E1F7" w14:textId="77777777" w:rsidR="00107079" w:rsidRDefault="00AE71EA" w:rsidP="00914128">
      <w:pPr>
        <w:pStyle w:val="ToC"/>
      </w:pPr>
      <w:hyperlink w:anchor="a25_07" w:history="1">
        <w:r w:rsidR="00232C53" w:rsidRPr="00107079">
          <w:rPr>
            <w:rStyle w:val="Hyperlink"/>
          </w:rPr>
          <w:t>25:7</w:t>
        </w:r>
      </w:hyperlink>
      <w:r w:rsidR="00232C53" w:rsidRPr="00107079">
        <w:t xml:space="preserve"> </w:t>
      </w:r>
      <w:r w:rsidR="00232C53" w:rsidRPr="00107079">
        <w:tab/>
        <w:t>Reckless Disregard — Defined</w:t>
      </w:r>
    </w:p>
    <w:p w14:paraId="5A4784C4" w14:textId="77777777" w:rsidR="00107079" w:rsidRDefault="00AE71EA" w:rsidP="00914128">
      <w:pPr>
        <w:pStyle w:val="ToC"/>
      </w:pPr>
      <w:hyperlink w:anchor="a25_08" w:history="1">
        <w:r w:rsidR="00232C53" w:rsidRPr="00107079">
          <w:rPr>
            <w:rStyle w:val="Hyperlink"/>
          </w:rPr>
          <w:t>25:8</w:t>
        </w:r>
      </w:hyperlink>
      <w:r w:rsidR="00232C53" w:rsidRPr="00107079">
        <w:t xml:space="preserve"> </w:t>
      </w:r>
      <w:r w:rsidR="00232C53" w:rsidRPr="00107079">
        <w:tab/>
        <w:t xml:space="preserve">Duty </w:t>
      </w:r>
      <w:r w:rsidR="00232C53">
        <w:t>of</w:t>
      </w:r>
      <w:r w:rsidR="00232C53" w:rsidRPr="00107079">
        <w:t xml:space="preserve"> Good Faith </w:t>
      </w:r>
      <w:r w:rsidR="00232C53">
        <w:t>and</w:t>
      </w:r>
      <w:r w:rsidR="00232C53" w:rsidRPr="00107079">
        <w:t xml:space="preserve"> Fair Dealing</w:t>
      </w:r>
    </w:p>
    <w:p w14:paraId="04BD2A59" w14:textId="77777777" w:rsidR="00107079" w:rsidRDefault="00AE71EA" w:rsidP="00914128">
      <w:pPr>
        <w:pStyle w:val="ToC"/>
      </w:pPr>
      <w:hyperlink w:anchor="a25_09" w:history="1">
        <w:r w:rsidR="00232C53" w:rsidRPr="00107079">
          <w:rPr>
            <w:rStyle w:val="Hyperlink"/>
          </w:rPr>
          <w:t>25:9</w:t>
        </w:r>
      </w:hyperlink>
      <w:r w:rsidR="00232C53" w:rsidRPr="00107079">
        <w:t xml:space="preserve"> </w:t>
      </w:r>
      <w:r w:rsidR="00232C53" w:rsidRPr="00107079">
        <w:tab/>
        <w:t>Actual Damages — Common-Law Claims</w:t>
      </w:r>
    </w:p>
    <w:p w14:paraId="680E5552" w14:textId="77777777" w:rsidR="00107079" w:rsidRDefault="00AE71EA" w:rsidP="00914128">
      <w:pPr>
        <w:pStyle w:val="ToC"/>
      </w:pPr>
      <w:hyperlink w:anchor="a25_10" w:history="1">
        <w:r w:rsidR="00232C53" w:rsidRPr="00107079">
          <w:rPr>
            <w:rStyle w:val="Hyperlink"/>
          </w:rPr>
          <w:t>25:10</w:t>
        </w:r>
      </w:hyperlink>
      <w:r w:rsidR="00232C53" w:rsidRPr="00107079">
        <w:tab/>
        <w:t>Benefit Amount — First-Party Statutory Claims</w:t>
      </w:r>
    </w:p>
    <w:p w14:paraId="08EC2573" w14:textId="77777777" w:rsidR="00107079" w:rsidRDefault="00AE71EA" w:rsidP="00914128">
      <w:pPr>
        <w:pStyle w:val="ToC"/>
      </w:pPr>
      <w:hyperlink w:anchor="a25_11" w:history="1">
        <w:r w:rsidR="00232C53" w:rsidRPr="00107079">
          <w:rPr>
            <w:rStyle w:val="Hyperlink"/>
          </w:rPr>
          <w:t>25:11</w:t>
        </w:r>
      </w:hyperlink>
      <w:r w:rsidR="00232C53" w:rsidRPr="00107079">
        <w:t xml:space="preserve"> </w:t>
      </w:r>
      <w:r w:rsidR="00232C53" w:rsidRPr="00107079">
        <w:tab/>
        <w:t>Punitive Damages</w:t>
      </w:r>
    </w:p>
    <w:p w14:paraId="66656D83" w14:textId="77777777" w:rsidR="00352111" w:rsidRPr="00352111" w:rsidRDefault="00352111">
      <w:pPr>
        <w:rPr>
          <w:rFonts w:eastAsia="Times New Roman"/>
          <w:sz w:val="24"/>
          <w:szCs w:val="24"/>
        </w:rPr>
      </w:pPr>
      <w:r w:rsidRPr="00352111">
        <w:rPr>
          <w:rFonts w:eastAsia="Times New Roman"/>
          <w:sz w:val="24"/>
          <w:szCs w:val="24"/>
        </w:rPr>
        <w:br w:type="page"/>
      </w:r>
    </w:p>
    <w:p w14:paraId="5C273865" w14:textId="77777777" w:rsidR="009E3DA4" w:rsidRPr="009E3DA4" w:rsidRDefault="00F94DD6" w:rsidP="00CC0502">
      <w:pPr>
        <w:spacing w:after="240"/>
        <w:ind w:left="720" w:hanging="720"/>
        <w:rPr>
          <w:rFonts w:eastAsia="Times New Roman"/>
          <w:b/>
          <w:sz w:val="24"/>
          <w:szCs w:val="24"/>
        </w:rPr>
      </w:pPr>
      <w:bookmarkStart w:id="0" w:name="a25_01"/>
      <w:bookmarkEnd w:id="0"/>
      <w:r w:rsidRPr="00F94DD6">
        <w:rPr>
          <w:rFonts w:eastAsia="Times New Roman"/>
          <w:b/>
          <w:sz w:val="24"/>
          <w:szCs w:val="24"/>
        </w:rPr>
        <w:lastRenderedPageBreak/>
        <w:t xml:space="preserve">25:1 </w:t>
      </w:r>
      <w:r w:rsidRPr="00F94DD6">
        <w:rPr>
          <w:rFonts w:eastAsia="Times New Roman"/>
          <w:b/>
          <w:sz w:val="24"/>
          <w:szCs w:val="24"/>
        </w:rPr>
        <w:tab/>
        <w:t>ELEMENTS OF LIABILITY — THIRD-PARTY CLAIMS</w:t>
      </w:r>
    </w:p>
    <w:p w14:paraId="67AB538E" w14:textId="7472F589" w:rsidR="00F94DD6" w:rsidRPr="00F94DD6" w:rsidRDefault="00F94DD6" w:rsidP="00F94DD6">
      <w:pPr>
        <w:spacing w:after="240"/>
        <w:ind w:firstLine="720"/>
        <w:rPr>
          <w:rFonts w:eastAsia="Times New Roman"/>
          <w:b/>
          <w:sz w:val="24"/>
          <w:szCs w:val="24"/>
        </w:rPr>
      </w:pPr>
      <w:r w:rsidRPr="00F94DD6">
        <w:rPr>
          <w:rFonts w:eastAsia="Times New Roman"/>
          <w:b/>
          <w:sz w:val="24"/>
          <w:szCs w:val="24"/>
        </w:rPr>
        <w:t xml:space="preserve">For the plaintiff, </w:t>
      </w:r>
      <w:r w:rsidRPr="00F94DD6">
        <w:rPr>
          <w:rFonts w:eastAsia="Times New Roman"/>
          <w:i/>
          <w:sz w:val="24"/>
          <w:szCs w:val="24"/>
        </w:rPr>
        <w:t>(name)</w:t>
      </w:r>
      <w:r w:rsidRPr="00F94DD6">
        <w:rPr>
          <w:rFonts w:eastAsia="Times New Roman"/>
          <w:b/>
          <w:sz w:val="24"/>
          <w:szCs w:val="24"/>
        </w:rPr>
        <w:t xml:space="preserve">, to recover from the defendant, </w:t>
      </w:r>
      <w:r w:rsidRPr="00F94DD6">
        <w:rPr>
          <w:rFonts w:eastAsia="Times New Roman"/>
          <w:i/>
          <w:sz w:val="24"/>
          <w:szCs w:val="24"/>
        </w:rPr>
        <w:t>(name)</w:t>
      </w:r>
      <w:r w:rsidRPr="00F94DD6">
        <w:rPr>
          <w:rFonts w:eastAsia="Times New Roman"/>
          <w:b/>
          <w:sz w:val="24"/>
          <w:szCs w:val="24"/>
        </w:rPr>
        <w:t xml:space="preserve">, on </w:t>
      </w:r>
      <w:r w:rsidR="00371D9F" w:rsidRPr="00371D9F">
        <w:rPr>
          <w:rFonts w:eastAsia="Times New Roman"/>
          <w:bCs/>
          <w:i/>
          <w:iCs/>
          <w:sz w:val="24"/>
          <w:szCs w:val="24"/>
        </w:rPr>
        <w:t>(insert applicable pronoun)</w:t>
      </w:r>
      <w:r w:rsidRPr="00F94DD6">
        <w:rPr>
          <w:rFonts w:eastAsia="Times New Roman"/>
          <w:b/>
          <w:sz w:val="24"/>
          <w:szCs w:val="24"/>
        </w:rPr>
        <w:t xml:space="preserve"> claim of bad faith breach of insurance contract, you must find all the following have been proved by a preponderance of the evidence:</w:t>
      </w:r>
    </w:p>
    <w:p w14:paraId="32B158C3" w14:textId="77777777" w:rsidR="00F94DD6" w:rsidRPr="00F94DD6" w:rsidRDefault="00F94DD6" w:rsidP="00F94DD6">
      <w:pPr>
        <w:spacing w:after="240"/>
        <w:ind w:firstLine="720"/>
        <w:rPr>
          <w:rFonts w:eastAsia="Times New Roman"/>
          <w:b/>
          <w:sz w:val="24"/>
          <w:szCs w:val="24"/>
        </w:rPr>
      </w:pPr>
      <w:r w:rsidRPr="00F94DD6">
        <w:rPr>
          <w:rFonts w:eastAsia="Times New Roman"/>
          <w:b/>
          <w:sz w:val="24"/>
          <w:szCs w:val="24"/>
        </w:rPr>
        <w:t>1. The plaintiff had (injuries) (damages) (losses);</w:t>
      </w:r>
    </w:p>
    <w:p w14:paraId="58A6F313" w14:textId="77777777" w:rsidR="00F94DD6" w:rsidRPr="00F94DD6" w:rsidRDefault="00F94DD6" w:rsidP="00F94DD6">
      <w:pPr>
        <w:spacing w:after="240"/>
        <w:ind w:firstLine="720"/>
        <w:rPr>
          <w:rFonts w:eastAsia="Times New Roman"/>
          <w:b/>
          <w:sz w:val="24"/>
          <w:szCs w:val="24"/>
        </w:rPr>
      </w:pPr>
      <w:r w:rsidRPr="00F94DD6">
        <w:rPr>
          <w:rFonts w:eastAsia="Times New Roman"/>
          <w:b/>
          <w:sz w:val="24"/>
          <w:szCs w:val="24"/>
        </w:rPr>
        <w:t xml:space="preserve">2. The defendant acted unreasonably in </w:t>
      </w:r>
      <w:r w:rsidRPr="00F94DD6">
        <w:rPr>
          <w:rFonts w:eastAsia="Times New Roman"/>
          <w:i/>
          <w:sz w:val="24"/>
          <w:szCs w:val="24"/>
        </w:rPr>
        <w:t>(insert appropriate description, e.g., “failing to settle the claim [name of third party] made against the plaintiff”)</w:t>
      </w:r>
      <w:r w:rsidRPr="00F94DD6">
        <w:rPr>
          <w:rFonts w:eastAsia="Times New Roman"/>
          <w:b/>
          <w:sz w:val="24"/>
          <w:szCs w:val="24"/>
        </w:rPr>
        <w:t>; and</w:t>
      </w:r>
    </w:p>
    <w:p w14:paraId="17C80FA0" w14:textId="77777777" w:rsidR="00F94DD6" w:rsidRPr="00F94DD6" w:rsidRDefault="00F94DD6" w:rsidP="00F94DD6">
      <w:pPr>
        <w:spacing w:after="240"/>
        <w:ind w:firstLine="720"/>
        <w:rPr>
          <w:rFonts w:eastAsia="Times New Roman"/>
          <w:b/>
          <w:sz w:val="24"/>
          <w:szCs w:val="24"/>
        </w:rPr>
      </w:pPr>
      <w:r w:rsidRPr="00F94DD6">
        <w:rPr>
          <w:rFonts w:eastAsia="Times New Roman"/>
          <w:b/>
          <w:sz w:val="24"/>
          <w:szCs w:val="24"/>
        </w:rPr>
        <w:t>3. The defendant’s unreasonable (conduct) (position) was a cause of the plaintiff’s (injuries) (damages) (losses).</w:t>
      </w:r>
    </w:p>
    <w:p w14:paraId="710C19EE" w14:textId="77777777" w:rsidR="00F94DD6" w:rsidRPr="00F94DD6" w:rsidRDefault="00F94DD6" w:rsidP="00F94DD6">
      <w:pPr>
        <w:spacing w:after="240"/>
        <w:ind w:firstLine="720"/>
        <w:rPr>
          <w:rFonts w:eastAsia="Times New Roman"/>
          <w:b/>
          <w:sz w:val="24"/>
          <w:szCs w:val="24"/>
        </w:rPr>
      </w:pPr>
      <w:r w:rsidRPr="00F94DD6">
        <w:rPr>
          <w:rFonts w:eastAsia="Times New Roman"/>
          <w:b/>
          <w:sz w:val="24"/>
          <w:szCs w:val="24"/>
        </w:rPr>
        <w:t xml:space="preserve">If you find that any one or more of these </w:t>
      </w:r>
      <w:r w:rsidRPr="00F94DD6">
        <w:rPr>
          <w:rFonts w:eastAsia="Times New Roman"/>
          <w:i/>
          <w:sz w:val="24"/>
          <w:szCs w:val="24"/>
        </w:rPr>
        <w:t>(number)</w:t>
      </w:r>
      <w:r w:rsidRPr="00F94DD6">
        <w:rPr>
          <w:rFonts w:eastAsia="Times New Roman"/>
          <w:b/>
          <w:sz w:val="24"/>
          <w:szCs w:val="24"/>
        </w:rPr>
        <w:t xml:space="preserve"> statements has not been proved, then your verdict must be for the defendant.</w:t>
      </w:r>
    </w:p>
    <w:p w14:paraId="784BB120" w14:textId="77777777" w:rsidR="00F94DD6" w:rsidRPr="00F94DD6" w:rsidRDefault="00F94DD6" w:rsidP="00F94DD6">
      <w:pPr>
        <w:spacing w:after="240"/>
        <w:ind w:firstLine="720"/>
        <w:rPr>
          <w:rFonts w:eastAsia="Times New Roman"/>
          <w:b/>
          <w:sz w:val="24"/>
          <w:szCs w:val="24"/>
        </w:rPr>
      </w:pPr>
      <w:r w:rsidRPr="00F94DD6">
        <w:rPr>
          <w:rFonts w:eastAsia="Times New Roman"/>
          <w:b/>
          <w:sz w:val="24"/>
          <w:szCs w:val="24"/>
        </w:rPr>
        <w:t xml:space="preserve">On the other hand, if you find that all of these </w:t>
      </w:r>
      <w:r w:rsidRPr="00F94DD6">
        <w:rPr>
          <w:rFonts w:eastAsia="Times New Roman"/>
          <w:i/>
          <w:sz w:val="24"/>
          <w:szCs w:val="24"/>
        </w:rPr>
        <w:t>(number)</w:t>
      </w:r>
      <w:r w:rsidRPr="00F94DD6">
        <w:rPr>
          <w:rFonts w:eastAsia="Times New Roman"/>
          <w:b/>
          <w:sz w:val="24"/>
          <w:szCs w:val="24"/>
        </w:rPr>
        <w:t xml:space="preserve"> statements have been proved, (then your verdict must be for the plaintiff) (then you must consider the defendant’s affirmative defense(s) of </w:t>
      </w:r>
      <w:r w:rsidRPr="00F94DD6">
        <w:rPr>
          <w:rFonts w:eastAsia="Times New Roman"/>
          <w:i/>
          <w:sz w:val="24"/>
          <w:szCs w:val="24"/>
        </w:rPr>
        <w:t>[insert any affirmative defense that would be a complete defense to plaintiff’s claim]</w:t>
      </w:r>
      <w:r w:rsidRPr="00F94DD6">
        <w:rPr>
          <w:rFonts w:eastAsia="Times New Roman"/>
          <w:b/>
          <w:sz w:val="24"/>
          <w:szCs w:val="24"/>
        </w:rPr>
        <w:t>).</w:t>
      </w:r>
    </w:p>
    <w:p w14:paraId="0AD70799" w14:textId="77777777" w:rsidR="00F94DD6" w:rsidRPr="00F94DD6" w:rsidRDefault="00F94DD6" w:rsidP="00F94DD6">
      <w:pPr>
        <w:spacing w:after="240"/>
        <w:ind w:firstLine="720"/>
        <w:rPr>
          <w:rFonts w:eastAsia="Times New Roman"/>
          <w:b/>
          <w:sz w:val="24"/>
          <w:szCs w:val="24"/>
        </w:rPr>
      </w:pPr>
      <w:r w:rsidRPr="00F94DD6">
        <w:rPr>
          <w:rFonts w:eastAsia="Times New Roman"/>
          <w:b/>
          <w:sz w:val="24"/>
          <w:szCs w:val="24"/>
        </w:rPr>
        <w:t>If you find that (this affirmative defense has) (any one or more of these affirmative defenses have) been proved by a preponderance of the evidence, then your verdict must be for the defendant.</w:t>
      </w:r>
    </w:p>
    <w:p w14:paraId="764B2C81" w14:textId="77777777" w:rsidR="00F94DD6" w:rsidRPr="00F94DD6" w:rsidRDefault="00F94DD6" w:rsidP="00F94DD6">
      <w:pPr>
        <w:spacing w:after="240"/>
        <w:ind w:firstLine="720"/>
        <w:rPr>
          <w:rFonts w:eastAsia="Times New Roman"/>
          <w:b/>
          <w:sz w:val="24"/>
          <w:szCs w:val="24"/>
        </w:rPr>
      </w:pPr>
      <w:r w:rsidRPr="00F94DD6">
        <w:rPr>
          <w:rFonts w:eastAsia="Times New Roman"/>
          <w:b/>
          <w:sz w:val="24"/>
          <w:szCs w:val="24"/>
        </w:rPr>
        <w:t>However, if you find that (this affirmative defense has not) (none of these affirmative defenses have) been proved, then your verdict must be for the plaintiff.</w:t>
      </w:r>
    </w:p>
    <w:p w14:paraId="3CF74C58" w14:textId="77777777" w:rsidR="00832DB4" w:rsidRDefault="00832DB4" w:rsidP="0054263B">
      <w:pPr>
        <w:jc w:val="center"/>
        <w:rPr>
          <w:rFonts w:eastAsia="Times New Roman"/>
          <w:sz w:val="24"/>
          <w:szCs w:val="24"/>
        </w:rPr>
      </w:pPr>
    </w:p>
    <w:p w14:paraId="7638B2FE" w14:textId="77777777" w:rsidR="0054263B" w:rsidRPr="0054263B" w:rsidRDefault="0054263B" w:rsidP="00BE654D">
      <w:pPr>
        <w:keepNext/>
        <w:spacing w:after="240"/>
        <w:jc w:val="center"/>
        <w:rPr>
          <w:rFonts w:eastAsia="Times New Roman"/>
          <w:b/>
          <w:sz w:val="24"/>
          <w:szCs w:val="24"/>
        </w:rPr>
      </w:pPr>
      <w:r w:rsidRPr="0054263B">
        <w:rPr>
          <w:rFonts w:eastAsia="Times New Roman"/>
          <w:b/>
          <w:sz w:val="24"/>
          <w:szCs w:val="24"/>
        </w:rPr>
        <w:t>Notes on Use</w:t>
      </w:r>
    </w:p>
    <w:p w14:paraId="7837B11B" w14:textId="77777777" w:rsidR="00F94DD6" w:rsidRPr="00F94DD6" w:rsidRDefault="00F94DD6" w:rsidP="00F94DD6">
      <w:pPr>
        <w:spacing w:after="240"/>
        <w:ind w:firstLine="720"/>
        <w:rPr>
          <w:rFonts w:eastAsia="Times New Roman"/>
          <w:sz w:val="24"/>
          <w:szCs w:val="24"/>
        </w:rPr>
      </w:pPr>
      <w:r w:rsidRPr="00F94DD6">
        <w:rPr>
          <w:rFonts w:eastAsia="Times New Roman"/>
          <w:sz w:val="24"/>
          <w:szCs w:val="24"/>
        </w:rPr>
        <w:t>1. Omit any numbered paragraph involving facts that are not in dispute, and modify this instruction to include additional numbered paragraphs covering any other disputed preliminary matters upon which liability may depend (e.g., whether a valid insurance contract was in effect at the time).</w:t>
      </w:r>
    </w:p>
    <w:p w14:paraId="0B925C50" w14:textId="77777777" w:rsidR="00F94DD6" w:rsidRPr="00F94DD6" w:rsidRDefault="00F94DD6" w:rsidP="00F94DD6">
      <w:pPr>
        <w:spacing w:after="240"/>
        <w:ind w:firstLine="720"/>
        <w:rPr>
          <w:rFonts w:eastAsia="Times New Roman"/>
          <w:sz w:val="24"/>
          <w:szCs w:val="24"/>
        </w:rPr>
      </w:pPr>
      <w:r w:rsidRPr="00F94DD6">
        <w:rPr>
          <w:rFonts w:eastAsia="Times New Roman"/>
          <w:sz w:val="24"/>
          <w:szCs w:val="24"/>
        </w:rPr>
        <w:t>2. Use whichever parenthesized words are appropriate and omit the last two paragraphs if the defendant has put no affirmative defense in issue or there is insufficient evidence to support any defense.</w:t>
      </w:r>
    </w:p>
    <w:p w14:paraId="08EC1426" w14:textId="77777777" w:rsidR="00F94DD6" w:rsidRPr="00F94DD6" w:rsidRDefault="00F94DD6" w:rsidP="00F94DD6">
      <w:pPr>
        <w:spacing w:after="240"/>
        <w:ind w:firstLine="720"/>
        <w:rPr>
          <w:rFonts w:eastAsia="Times New Roman"/>
          <w:sz w:val="24"/>
          <w:szCs w:val="24"/>
        </w:rPr>
      </w:pPr>
      <w:r w:rsidRPr="00F94DD6">
        <w:rPr>
          <w:rFonts w:eastAsia="Times New Roman"/>
          <w:sz w:val="24"/>
          <w:szCs w:val="24"/>
        </w:rPr>
        <w:t xml:space="preserve">3. This instruction is for use in third-party situations such as that in </w:t>
      </w:r>
      <w:r w:rsidRPr="00F94DD6">
        <w:rPr>
          <w:rFonts w:eastAsia="Times New Roman"/>
          <w:b/>
          <w:sz w:val="24"/>
          <w:szCs w:val="24"/>
        </w:rPr>
        <w:t>Farmers Group, Inc. v. Trimble</w:t>
      </w:r>
      <w:r w:rsidRPr="00F94DD6">
        <w:rPr>
          <w:rFonts w:eastAsia="Times New Roman"/>
          <w:sz w:val="24"/>
          <w:szCs w:val="24"/>
        </w:rPr>
        <w:t>,</w:t>
      </w:r>
      <w:r w:rsidRPr="00F94DD6">
        <w:rPr>
          <w:rFonts w:eastAsia="Times New Roman"/>
          <w:b/>
          <w:sz w:val="24"/>
          <w:szCs w:val="24"/>
        </w:rPr>
        <w:t xml:space="preserve"> </w:t>
      </w:r>
      <w:r w:rsidRPr="00F94DD6">
        <w:rPr>
          <w:rFonts w:eastAsia="Times New Roman"/>
          <w:sz w:val="24"/>
          <w:szCs w:val="24"/>
        </w:rPr>
        <w:t xml:space="preserve">691 P.2d 1138 (Colo. 1984) (liability claims by third parties against insured). </w:t>
      </w:r>
      <w:r w:rsidRPr="00F94DD6">
        <w:rPr>
          <w:rFonts w:eastAsia="Times New Roman"/>
          <w:i/>
          <w:sz w:val="24"/>
          <w:szCs w:val="24"/>
        </w:rPr>
        <w:t>See also</w:t>
      </w:r>
      <w:r w:rsidRPr="00F94DD6">
        <w:rPr>
          <w:rFonts w:eastAsia="Times New Roman"/>
          <w:sz w:val="24"/>
          <w:szCs w:val="24"/>
        </w:rPr>
        <w:t xml:space="preserve"> </w:t>
      </w:r>
      <w:r w:rsidRPr="00F94DD6">
        <w:rPr>
          <w:rFonts w:eastAsia="Times New Roman"/>
          <w:b/>
          <w:sz w:val="24"/>
          <w:szCs w:val="24"/>
        </w:rPr>
        <w:t>Goodson v. Am. Standard Ins. Co.</w:t>
      </w:r>
      <w:r w:rsidRPr="00F94DD6">
        <w:rPr>
          <w:rFonts w:eastAsia="Times New Roman"/>
          <w:sz w:val="24"/>
          <w:szCs w:val="24"/>
        </w:rPr>
        <w:t>,</w:t>
      </w:r>
      <w:r w:rsidRPr="00F94DD6">
        <w:rPr>
          <w:rFonts w:eastAsia="Times New Roman"/>
          <w:b/>
          <w:sz w:val="24"/>
          <w:szCs w:val="24"/>
        </w:rPr>
        <w:t xml:space="preserve"> </w:t>
      </w:r>
      <w:r w:rsidRPr="00F94DD6">
        <w:rPr>
          <w:rFonts w:eastAsia="Times New Roman"/>
          <w:sz w:val="24"/>
          <w:szCs w:val="24"/>
        </w:rPr>
        <w:t xml:space="preserve">89 P.3d 409, 414 (Colo. 2004) (“Third-party bad faith arises when an insurance company acts unreasonably in investigating, defending, or settling a claim brought by a third person against its insured under a liability policy.”); </w:t>
      </w:r>
      <w:r w:rsidRPr="00F94DD6">
        <w:rPr>
          <w:rFonts w:eastAsia="Times New Roman"/>
          <w:b/>
          <w:sz w:val="24"/>
          <w:szCs w:val="24"/>
        </w:rPr>
        <w:t>Silva v. Basin W., Inc.</w:t>
      </w:r>
      <w:r w:rsidRPr="00F94DD6">
        <w:rPr>
          <w:rFonts w:eastAsia="Times New Roman"/>
          <w:sz w:val="24"/>
          <w:szCs w:val="24"/>
        </w:rPr>
        <w:t xml:space="preserve">, 47 P.3d 1184 (Colo. 2002) (discussing distinction between third-party and first-party claims </w:t>
      </w:r>
      <w:r w:rsidRPr="00F94DD6">
        <w:rPr>
          <w:rFonts w:eastAsia="Times New Roman"/>
          <w:sz w:val="24"/>
          <w:szCs w:val="24"/>
        </w:rPr>
        <w:lastRenderedPageBreak/>
        <w:t xml:space="preserve">for bad faith breach of insurance contract); </w:t>
      </w:r>
      <w:r w:rsidRPr="00F94DD6">
        <w:rPr>
          <w:rFonts w:eastAsia="Times New Roman"/>
          <w:b/>
          <w:sz w:val="24"/>
          <w:szCs w:val="24"/>
        </w:rPr>
        <w:t>Olson v. State Farm Mut. Auto. Ins. Co.</w:t>
      </w:r>
      <w:r w:rsidRPr="00F94DD6">
        <w:rPr>
          <w:rFonts w:eastAsia="Times New Roman"/>
          <w:sz w:val="24"/>
          <w:szCs w:val="24"/>
        </w:rPr>
        <w:t xml:space="preserve">, 174 P.3d 849 (Colo. App. 2007) (same). </w:t>
      </w:r>
    </w:p>
    <w:p w14:paraId="63CDBA4A" w14:textId="77777777" w:rsidR="00F94DD6" w:rsidRPr="00F94DD6" w:rsidRDefault="00F94DD6" w:rsidP="00F94DD6">
      <w:pPr>
        <w:spacing w:after="240"/>
        <w:ind w:firstLine="720"/>
        <w:rPr>
          <w:rFonts w:eastAsia="Times New Roman"/>
          <w:sz w:val="24"/>
          <w:szCs w:val="24"/>
        </w:rPr>
      </w:pPr>
      <w:r w:rsidRPr="00F94DD6">
        <w:rPr>
          <w:rFonts w:eastAsia="Times New Roman"/>
          <w:sz w:val="24"/>
          <w:szCs w:val="24"/>
        </w:rPr>
        <w:t xml:space="preserve">4. Instruction 25:2 should be used in first-party cases where an insured brings a common-law direct action for bad faith breach of insurance contract against an insurer. </w:t>
      </w:r>
      <w:r w:rsidRPr="00F94DD6">
        <w:rPr>
          <w:rFonts w:eastAsia="Times New Roman"/>
          <w:i/>
          <w:sz w:val="24"/>
          <w:szCs w:val="24"/>
        </w:rPr>
        <w:t xml:space="preserve">See </w:t>
      </w:r>
      <w:r w:rsidRPr="00F94DD6">
        <w:rPr>
          <w:rFonts w:eastAsia="Times New Roman"/>
          <w:b/>
          <w:sz w:val="24"/>
          <w:szCs w:val="24"/>
        </w:rPr>
        <w:t>Travelers Ins. Co. v. Savio</w:t>
      </w:r>
      <w:r w:rsidRPr="00F94DD6">
        <w:rPr>
          <w:rFonts w:eastAsia="Times New Roman"/>
          <w:sz w:val="24"/>
          <w:szCs w:val="24"/>
        </w:rPr>
        <w:t xml:space="preserve">, 706 P.2d 1258 (Colo. 1985) (requiring insurer knowledge or reckless disregard of its unreasonable conduct). </w:t>
      </w:r>
    </w:p>
    <w:p w14:paraId="66708378" w14:textId="77777777" w:rsidR="00F94DD6" w:rsidRPr="00F94DD6" w:rsidRDefault="00F94DD6" w:rsidP="00F94DD6">
      <w:pPr>
        <w:spacing w:after="240"/>
        <w:ind w:firstLine="720"/>
        <w:rPr>
          <w:rFonts w:eastAsia="Times New Roman"/>
          <w:sz w:val="24"/>
          <w:szCs w:val="24"/>
        </w:rPr>
      </w:pPr>
      <w:r w:rsidRPr="00F94DD6">
        <w:rPr>
          <w:rFonts w:eastAsia="Times New Roman"/>
          <w:sz w:val="24"/>
          <w:szCs w:val="24"/>
        </w:rPr>
        <w:t xml:space="preserve">5. Instruction 25:4 should be used in first-party cases where an insured brings a statutory claim against an insurer based on section 10-3-1116(1), C.R.S., for unreasonable delay in paying or denial of benefits. </w:t>
      </w:r>
      <w:r w:rsidRPr="00F94DD6">
        <w:rPr>
          <w:rFonts w:eastAsia="Times New Roman"/>
          <w:b/>
          <w:sz w:val="24"/>
          <w:szCs w:val="24"/>
        </w:rPr>
        <w:t>Kisselman v. Am. Family Ins. Co.</w:t>
      </w:r>
      <w:r w:rsidRPr="00F94DD6">
        <w:rPr>
          <w:rFonts w:eastAsia="Times New Roman"/>
          <w:sz w:val="24"/>
          <w:szCs w:val="24"/>
        </w:rPr>
        <w:t>, 292 P.3d 964 (Colo. App. 2011) (requiring only proof of insurer unreasonable conduct in denying or delaying payment of a claim without a reasonable basis).</w:t>
      </w:r>
    </w:p>
    <w:p w14:paraId="05708397" w14:textId="77777777" w:rsidR="00F94DD6" w:rsidRPr="00F94DD6" w:rsidRDefault="00F94DD6" w:rsidP="00F94DD6">
      <w:pPr>
        <w:spacing w:after="240"/>
        <w:ind w:firstLine="720"/>
        <w:rPr>
          <w:rFonts w:eastAsia="Times New Roman"/>
          <w:sz w:val="24"/>
          <w:szCs w:val="24"/>
        </w:rPr>
      </w:pPr>
      <w:r w:rsidRPr="00F94DD6">
        <w:rPr>
          <w:rFonts w:eastAsia="Times New Roman"/>
          <w:sz w:val="24"/>
          <w:szCs w:val="24"/>
        </w:rPr>
        <w:t xml:space="preserve">6. </w:t>
      </w:r>
      <w:r w:rsidRPr="001D31A6">
        <w:rPr>
          <w:rFonts w:eastAsia="Times New Roman"/>
          <w:sz w:val="24"/>
          <w:szCs w:val="24"/>
        </w:rPr>
        <w:t>See also</w:t>
      </w:r>
      <w:r w:rsidRPr="00F94DD6">
        <w:rPr>
          <w:rFonts w:eastAsia="Times New Roman"/>
          <w:sz w:val="24"/>
          <w:szCs w:val="24"/>
        </w:rPr>
        <w:t xml:space="preserve"> section 10-3-1113(2) and (3), C.R.S. (permitting trier of fact to consider conduct of insurer prohibited by statute as evidence of unreasonable delay or denial of payment of insurance benefits), and sections 10-3-1115 and 10-3-1116, C.R.S. (permitting certain statutory first-party claims).</w:t>
      </w:r>
    </w:p>
    <w:p w14:paraId="4874E809" w14:textId="77777777" w:rsidR="00F94DD6" w:rsidRPr="00F94DD6" w:rsidRDefault="00F94DD6" w:rsidP="00F94DD6">
      <w:pPr>
        <w:spacing w:after="240"/>
        <w:ind w:firstLine="720"/>
        <w:rPr>
          <w:rFonts w:eastAsia="Times New Roman"/>
          <w:sz w:val="24"/>
          <w:szCs w:val="24"/>
        </w:rPr>
      </w:pPr>
      <w:r w:rsidRPr="00F94DD6">
        <w:rPr>
          <w:rFonts w:eastAsia="Times New Roman"/>
          <w:sz w:val="24"/>
          <w:szCs w:val="24"/>
        </w:rPr>
        <w:t xml:space="preserve">7. This instruction should be appropriately modified when the alleged bad faith breach of insurance contract relates to insurer conduct other than denial of or delay in paying indemnity benefits. The duty of an insurer to act in good faith toward its insured extends to the entire relationship between insurer and insured and is not limited to claims handling payment decisions. </w:t>
      </w:r>
      <w:r w:rsidRPr="00F94DD6">
        <w:rPr>
          <w:rFonts w:eastAsia="Times New Roman"/>
          <w:i/>
          <w:sz w:val="24"/>
          <w:szCs w:val="24"/>
        </w:rPr>
        <w:t xml:space="preserve">See </w:t>
      </w:r>
      <w:r w:rsidRPr="00F94DD6">
        <w:rPr>
          <w:rFonts w:eastAsia="Times New Roman"/>
          <w:b/>
          <w:sz w:val="24"/>
          <w:szCs w:val="24"/>
        </w:rPr>
        <w:t>Ballow v. PHICO Ins. Co.</w:t>
      </w:r>
      <w:r w:rsidRPr="00F94DD6">
        <w:rPr>
          <w:rFonts w:eastAsia="Times New Roman"/>
          <w:sz w:val="24"/>
          <w:szCs w:val="24"/>
        </w:rPr>
        <w:t xml:space="preserve">, 875 P.2d 1354 (Colo. 1993); </w:t>
      </w:r>
      <w:r w:rsidRPr="00F94DD6">
        <w:rPr>
          <w:rFonts w:eastAsia="Times New Roman"/>
          <w:i/>
          <w:sz w:val="24"/>
          <w:szCs w:val="24"/>
        </w:rPr>
        <w:t>see also</w:t>
      </w:r>
      <w:r w:rsidRPr="00F94DD6">
        <w:rPr>
          <w:rFonts w:eastAsia="Times New Roman"/>
          <w:sz w:val="24"/>
          <w:szCs w:val="24"/>
        </w:rPr>
        <w:t xml:space="preserve"> </w:t>
      </w:r>
      <w:r w:rsidRPr="00F94DD6">
        <w:rPr>
          <w:rFonts w:eastAsia="Times New Roman"/>
          <w:b/>
          <w:sz w:val="24"/>
          <w:szCs w:val="24"/>
        </w:rPr>
        <w:t>Dale v. Guar. Nat’l Ins. Co.</w:t>
      </w:r>
      <w:r w:rsidRPr="00F94DD6">
        <w:rPr>
          <w:rFonts w:eastAsia="Times New Roman"/>
          <w:sz w:val="24"/>
          <w:szCs w:val="24"/>
        </w:rPr>
        <w:t xml:space="preserve">, 948 P.2d 545 (Colo. 1997); </w:t>
      </w:r>
      <w:r w:rsidRPr="00F94DD6">
        <w:rPr>
          <w:rFonts w:eastAsia="Times New Roman"/>
          <w:b/>
          <w:sz w:val="24"/>
          <w:szCs w:val="24"/>
        </w:rPr>
        <w:t>Dunn v. Am. Family Ins.</w:t>
      </w:r>
      <w:r w:rsidRPr="00F94DD6">
        <w:rPr>
          <w:rFonts w:eastAsia="Times New Roman"/>
          <w:sz w:val="24"/>
          <w:szCs w:val="24"/>
        </w:rPr>
        <w:t xml:space="preserve">, 251 P.3d 1232 (Colo. App. 2010) (good-faith duty includes adjustment of claim and all aspects of investigation and handling); </w:t>
      </w:r>
      <w:r w:rsidRPr="00F94DD6">
        <w:rPr>
          <w:rFonts w:eastAsia="Times New Roman"/>
          <w:b/>
          <w:sz w:val="24"/>
          <w:szCs w:val="24"/>
        </w:rPr>
        <w:t>Bankruptcy Estate of Morris v. COPIC Ins. Co.</w:t>
      </w:r>
      <w:r w:rsidRPr="00F94DD6">
        <w:rPr>
          <w:rFonts w:eastAsia="Times New Roman"/>
          <w:sz w:val="24"/>
          <w:szCs w:val="24"/>
        </w:rPr>
        <w:t>, 192 P.3d 519 (Colo. App. 2008) (tort encompasses all dealings between parties, including conduct occurring before, during, and after trial).</w:t>
      </w:r>
    </w:p>
    <w:p w14:paraId="47F6733E" w14:textId="77777777" w:rsidR="00F94DD6" w:rsidRPr="00F94DD6" w:rsidRDefault="00F94DD6" w:rsidP="00F94DD6">
      <w:pPr>
        <w:spacing w:after="240"/>
        <w:ind w:firstLine="720"/>
        <w:rPr>
          <w:rFonts w:eastAsia="Times New Roman"/>
          <w:sz w:val="24"/>
          <w:szCs w:val="24"/>
        </w:rPr>
      </w:pPr>
      <w:r w:rsidRPr="00F94DD6">
        <w:rPr>
          <w:rFonts w:eastAsia="Times New Roman"/>
          <w:sz w:val="24"/>
          <w:szCs w:val="24"/>
        </w:rPr>
        <w:t xml:space="preserve">8. Appropriate instructions defining the terms used in this instruction must also be given. </w:t>
      </w:r>
      <w:r w:rsidRPr="00F94DD6">
        <w:rPr>
          <w:rFonts w:eastAsia="Times New Roman"/>
          <w:b/>
          <w:sz w:val="24"/>
          <w:szCs w:val="24"/>
        </w:rPr>
        <w:t>Miller v. Byrne</w:t>
      </w:r>
      <w:r w:rsidRPr="00F94DD6">
        <w:rPr>
          <w:rFonts w:eastAsia="Times New Roman"/>
          <w:sz w:val="24"/>
          <w:szCs w:val="24"/>
        </w:rPr>
        <w:t xml:space="preserve">, 916 P.2d 566 (Colo. App. 1995) (failure to define standard of care in terms of reasonableness was reversible error); </w:t>
      </w:r>
      <w:r w:rsidRPr="001D31A6">
        <w:rPr>
          <w:rFonts w:eastAsia="Times New Roman"/>
          <w:i/>
          <w:sz w:val="24"/>
          <w:szCs w:val="24"/>
        </w:rPr>
        <w:t>see</w:t>
      </w:r>
      <w:r w:rsidRPr="00F94DD6">
        <w:rPr>
          <w:rFonts w:eastAsia="Times New Roman"/>
          <w:sz w:val="24"/>
          <w:szCs w:val="24"/>
        </w:rPr>
        <w:t xml:space="preserve"> Instruction 25:3 (defining “unreasonable conduct” and “unreasonable position”); </w:t>
      </w:r>
      <w:r w:rsidRPr="001D31A6">
        <w:rPr>
          <w:rFonts w:eastAsia="Times New Roman"/>
          <w:i/>
          <w:sz w:val="24"/>
          <w:szCs w:val="24"/>
        </w:rPr>
        <w:t>see also</w:t>
      </w:r>
      <w:r w:rsidRPr="00F94DD6">
        <w:rPr>
          <w:rFonts w:eastAsia="Times New Roman"/>
          <w:sz w:val="24"/>
          <w:szCs w:val="24"/>
        </w:rPr>
        <w:t xml:space="preserve"> Instructions 9:18 – 9:21 (relating to causation). Instruction 25:6 may also be given with this instruction. </w:t>
      </w:r>
    </w:p>
    <w:p w14:paraId="54AFE06C" w14:textId="77777777" w:rsidR="00F94DD6" w:rsidRPr="00F94DD6" w:rsidRDefault="00F94DD6" w:rsidP="00F94DD6">
      <w:pPr>
        <w:spacing w:after="240"/>
        <w:ind w:firstLine="720"/>
        <w:rPr>
          <w:rFonts w:eastAsia="Times New Roman"/>
          <w:sz w:val="24"/>
          <w:szCs w:val="24"/>
        </w:rPr>
      </w:pPr>
      <w:r w:rsidRPr="00F94DD6">
        <w:rPr>
          <w:rFonts w:eastAsia="Times New Roman"/>
          <w:sz w:val="24"/>
          <w:szCs w:val="24"/>
        </w:rPr>
        <w:t xml:space="preserve">9. Though mitigation of damages is an affirmative defense, </w:t>
      </w:r>
      <w:r w:rsidRPr="001D31A6">
        <w:rPr>
          <w:rFonts w:eastAsia="Times New Roman"/>
          <w:i/>
          <w:sz w:val="24"/>
          <w:szCs w:val="24"/>
        </w:rPr>
        <w:t>see</w:t>
      </w:r>
      <w:r w:rsidRPr="00F94DD6">
        <w:rPr>
          <w:rFonts w:eastAsia="Times New Roman"/>
          <w:sz w:val="24"/>
          <w:szCs w:val="24"/>
        </w:rPr>
        <w:t xml:space="preserve"> Instruction 5:2, only rarely, if ever, will it be a complete defense. For this reason, mitigation should not be identified as an affirmative defense in the concluding paragraphs of this instruction. Instead, if supported by sufficient evidence, Instruction 5:2 should be given along with the actual damages instruction appropriate to the claim and the evidence in the case.</w:t>
      </w:r>
    </w:p>
    <w:p w14:paraId="7A417356" w14:textId="77777777" w:rsidR="00F94DD6" w:rsidRPr="00F94DD6" w:rsidRDefault="00F94DD6" w:rsidP="00F94DD6">
      <w:pPr>
        <w:spacing w:after="240"/>
        <w:ind w:firstLine="720"/>
        <w:rPr>
          <w:rFonts w:eastAsia="Times New Roman"/>
          <w:sz w:val="24"/>
          <w:szCs w:val="24"/>
        </w:rPr>
      </w:pPr>
      <w:r w:rsidRPr="00F94DD6">
        <w:rPr>
          <w:rFonts w:eastAsia="Times New Roman"/>
          <w:sz w:val="24"/>
          <w:szCs w:val="24"/>
        </w:rPr>
        <w:t>10. In cases involving multiple defendants or designated nonparties where the pro rata liability statute, § 13-21-111.5, C.R.S., is applicable, see the Notes on Use to Instruction 4:20 (model unified verdict form).</w:t>
      </w:r>
    </w:p>
    <w:p w14:paraId="3BF29DDB" w14:textId="77777777" w:rsidR="00352111" w:rsidRPr="0054263B" w:rsidRDefault="00352111" w:rsidP="00875064">
      <w:pPr>
        <w:keepNext/>
        <w:spacing w:after="240"/>
        <w:jc w:val="center"/>
        <w:rPr>
          <w:rFonts w:eastAsia="Times New Roman"/>
          <w:b/>
          <w:sz w:val="24"/>
          <w:szCs w:val="24"/>
        </w:rPr>
      </w:pPr>
      <w:r>
        <w:rPr>
          <w:rFonts w:eastAsia="Times New Roman"/>
          <w:b/>
          <w:sz w:val="24"/>
          <w:szCs w:val="24"/>
        </w:rPr>
        <w:lastRenderedPageBreak/>
        <w:t>Source and Authority</w:t>
      </w:r>
    </w:p>
    <w:p w14:paraId="659EBEE3" w14:textId="77777777" w:rsidR="001D31A6" w:rsidRPr="001D31A6" w:rsidRDefault="001D31A6" w:rsidP="001D31A6">
      <w:pPr>
        <w:spacing w:after="240"/>
        <w:ind w:firstLine="720"/>
        <w:rPr>
          <w:rFonts w:eastAsia="Times New Roman"/>
          <w:sz w:val="24"/>
          <w:szCs w:val="24"/>
        </w:rPr>
      </w:pPr>
      <w:r w:rsidRPr="001D31A6">
        <w:rPr>
          <w:rFonts w:eastAsia="Times New Roman"/>
          <w:sz w:val="24"/>
          <w:szCs w:val="24"/>
        </w:rPr>
        <w:t xml:space="preserve">1. This instruction is supported by </w:t>
      </w:r>
      <w:r w:rsidRPr="001D31A6">
        <w:rPr>
          <w:rFonts w:eastAsia="Times New Roman"/>
          <w:b/>
          <w:sz w:val="24"/>
          <w:szCs w:val="24"/>
        </w:rPr>
        <w:t>Trimble</w:t>
      </w:r>
      <w:r w:rsidRPr="001D31A6">
        <w:rPr>
          <w:rFonts w:eastAsia="Times New Roman"/>
          <w:sz w:val="24"/>
          <w:szCs w:val="24"/>
        </w:rPr>
        <w:t xml:space="preserve">, 691 P.2d at 1141, and section 10-3-1113(2). </w:t>
      </w:r>
      <w:r w:rsidRPr="001D31A6">
        <w:rPr>
          <w:rFonts w:eastAsia="Times New Roman"/>
          <w:i/>
          <w:sz w:val="24"/>
          <w:szCs w:val="24"/>
        </w:rPr>
        <w:t>See also</w:t>
      </w:r>
      <w:r w:rsidRPr="001D31A6">
        <w:rPr>
          <w:rFonts w:eastAsia="Times New Roman"/>
          <w:sz w:val="24"/>
          <w:szCs w:val="24"/>
        </w:rPr>
        <w:t xml:space="preserve"> </w:t>
      </w:r>
      <w:r w:rsidRPr="001D31A6">
        <w:rPr>
          <w:rFonts w:eastAsia="Times New Roman"/>
          <w:b/>
          <w:sz w:val="24"/>
          <w:szCs w:val="24"/>
        </w:rPr>
        <w:t>Brodeur v. Am. Home Assur. Co.</w:t>
      </w:r>
      <w:r w:rsidRPr="001D31A6">
        <w:rPr>
          <w:rFonts w:eastAsia="Times New Roman"/>
          <w:sz w:val="24"/>
          <w:szCs w:val="24"/>
        </w:rPr>
        <w:t xml:space="preserve">, 169 P.3d 139 (Colo. 2007); </w:t>
      </w:r>
      <w:r w:rsidRPr="001D31A6">
        <w:rPr>
          <w:rFonts w:eastAsia="Times New Roman"/>
          <w:b/>
          <w:sz w:val="24"/>
          <w:szCs w:val="24"/>
        </w:rPr>
        <w:t>Goodson</w:t>
      </w:r>
      <w:r w:rsidRPr="001D31A6">
        <w:rPr>
          <w:rFonts w:eastAsia="Times New Roman"/>
          <w:sz w:val="24"/>
          <w:szCs w:val="24"/>
        </w:rPr>
        <w:t>,</w:t>
      </w:r>
      <w:r w:rsidRPr="001D31A6">
        <w:rPr>
          <w:rFonts w:eastAsia="Times New Roman"/>
          <w:b/>
          <w:sz w:val="24"/>
          <w:szCs w:val="24"/>
        </w:rPr>
        <w:t xml:space="preserve"> </w:t>
      </w:r>
      <w:r w:rsidRPr="001D31A6">
        <w:rPr>
          <w:rFonts w:eastAsia="Times New Roman"/>
          <w:sz w:val="24"/>
          <w:szCs w:val="24"/>
        </w:rPr>
        <w:t xml:space="preserve">89 P.3d at 414; </w:t>
      </w:r>
      <w:r w:rsidRPr="001D31A6">
        <w:rPr>
          <w:rFonts w:eastAsia="Times New Roman"/>
          <w:b/>
          <w:sz w:val="24"/>
          <w:szCs w:val="24"/>
        </w:rPr>
        <w:t>Olson v. State Farm Mut. Auto. Ins. Co.</w:t>
      </w:r>
      <w:r w:rsidRPr="001D31A6">
        <w:rPr>
          <w:rFonts w:eastAsia="Times New Roman"/>
          <w:sz w:val="24"/>
          <w:szCs w:val="24"/>
        </w:rPr>
        <w:t>, 174 P.3d 849 (Colo. App. 2007).</w:t>
      </w:r>
    </w:p>
    <w:p w14:paraId="160DECA0" w14:textId="77777777" w:rsidR="001D31A6" w:rsidRPr="001D31A6" w:rsidRDefault="001D31A6" w:rsidP="001D31A6">
      <w:pPr>
        <w:spacing w:after="240"/>
        <w:ind w:firstLine="720"/>
        <w:rPr>
          <w:rFonts w:eastAsia="Times New Roman"/>
          <w:sz w:val="24"/>
          <w:szCs w:val="24"/>
        </w:rPr>
      </w:pPr>
      <w:r w:rsidRPr="001D31A6">
        <w:rPr>
          <w:rFonts w:eastAsia="Times New Roman"/>
          <w:sz w:val="24"/>
          <w:szCs w:val="24"/>
        </w:rPr>
        <w:t xml:space="preserve">2. In </w:t>
      </w:r>
      <w:r w:rsidRPr="001D31A6">
        <w:rPr>
          <w:rFonts w:eastAsia="Times New Roman"/>
          <w:b/>
          <w:sz w:val="24"/>
          <w:szCs w:val="24"/>
        </w:rPr>
        <w:t>Trimble</w:t>
      </w:r>
      <w:r w:rsidRPr="001D31A6">
        <w:rPr>
          <w:rFonts w:eastAsia="Times New Roman"/>
          <w:sz w:val="24"/>
          <w:szCs w:val="24"/>
        </w:rPr>
        <w:t xml:space="preserve">, the court noted that an insurer must act in good faith and deal fairly with its insured, and that in third-party cases, the insurer “stands in a position similar to that of a fiduciary.” </w:t>
      </w:r>
      <w:r w:rsidRPr="001D31A6">
        <w:rPr>
          <w:rFonts w:eastAsia="Times New Roman"/>
          <w:b/>
          <w:sz w:val="24"/>
          <w:szCs w:val="24"/>
        </w:rPr>
        <w:t>Trimble</w:t>
      </w:r>
      <w:r w:rsidRPr="001D31A6">
        <w:rPr>
          <w:rFonts w:eastAsia="Times New Roman"/>
          <w:sz w:val="24"/>
          <w:szCs w:val="24"/>
        </w:rPr>
        <w:t xml:space="preserve">, 691 P.2d at 1141. </w:t>
      </w:r>
      <w:r w:rsidRPr="001D31A6">
        <w:rPr>
          <w:rFonts w:eastAsia="Times New Roman"/>
          <w:i/>
          <w:sz w:val="24"/>
          <w:szCs w:val="24"/>
        </w:rPr>
        <w:t>See also</w:t>
      </w:r>
      <w:r w:rsidRPr="001D31A6">
        <w:rPr>
          <w:rFonts w:eastAsia="Times New Roman"/>
          <w:sz w:val="24"/>
          <w:szCs w:val="24"/>
        </w:rPr>
        <w:t xml:space="preserve"> § 10-1-101, C.R.S. (“[A]ll persons having to do with insurance services to the public [shall] be at all times actuated by good faith in everything pertaining thereto . . . .”). Insurers owe their insureds a quasi-fiduciary duty in the third-party context. </w:t>
      </w:r>
    </w:p>
    <w:p w14:paraId="2F3B67A7" w14:textId="77777777" w:rsidR="001D31A6" w:rsidRPr="001D31A6" w:rsidRDefault="001D31A6" w:rsidP="001D31A6">
      <w:pPr>
        <w:spacing w:after="240"/>
        <w:ind w:firstLine="720"/>
        <w:rPr>
          <w:rFonts w:eastAsia="Times New Roman"/>
          <w:sz w:val="24"/>
          <w:szCs w:val="24"/>
        </w:rPr>
      </w:pPr>
      <w:r w:rsidRPr="001D31A6">
        <w:rPr>
          <w:rFonts w:eastAsia="Times New Roman"/>
          <w:sz w:val="24"/>
          <w:szCs w:val="24"/>
        </w:rPr>
        <w:t xml:space="preserve">3. An entity that self-insures through a captive insurance company “functions like a traditional insurance company.” </w:t>
      </w:r>
      <w:r w:rsidRPr="001D31A6">
        <w:rPr>
          <w:rFonts w:eastAsia="Times New Roman"/>
          <w:i/>
          <w:sz w:val="24"/>
          <w:szCs w:val="24"/>
        </w:rPr>
        <w:t xml:space="preserve">See </w:t>
      </w:r>
      <w:r w:rsidRPr="001D31A6">
        <w:rPr>
          <w:rFonts w:eastAsia="Times New Roman"/>
          <w:b/>
          <w:sz w:val="24"/>
          <w:szCs w:val="24"/>
        </w:rPr>
        <w:t>Compton v. Safeway, Inc.</w:t>
      </w:r>
      <w:r w:rsidRPr="001D31A6">
        <w:rPr>
          <w:rFonts w:eastAsia="Times New Roman"/>
          <w:sz w:val="24"/>
          <w:szCs w:val="24"/>
        </w:rPr>
        <w:t>,</w:t>
      </w:r>
      <w:r w:rsidRPr="001D31A6">
        <w:rPr>
          <w:rFonts w:eastAsia="Times New Roman"/>
          <w:i/>
          <w:sz w:val="24"/>
          <w:szCs w:val="24"/>
        </w:rPr>
        <w:t xml:space="preserve"> </w:t>
      </w:r>
      <w:r w:rsidRPr="001D31A6">
        <w:rPr>
          <w:rFonts w:eastAsia="Times New Roman"/>
          <w:sz w:val="24"/>
          <w:szCs w:val="24"/>
        </w:rPr>
        <w:t xml:space="preserve">169 P.3d 135, 137 (Colo. 2007) (granting motion to compel discovery of statements withheld under work product doctrine). </w:t>
      </w:r>
    </w:p>
    <w:p w14:paraId="15044DFC" w14:textId="77777777" w:rsidR="001D31A6" w:rsidRPr="001D31A6" w:rsidRDefault="001D31A6" w:rsidP="001D31A6">
      <w:pPr>
        <w:spacing w:after="240"/>
        <w:ind w:firstLine="720"/>
        <w:rPr>
          <w:rFonts w:eastAsia="Times New Roman"/>
          <w:sz w:val="24"/>
          <w:szCs w:val="24"/>
        </w:rPr>
      </w:pPr>
      <w:r w:rsidRPr="001D31A6">
        <w:rPr>
          <w:rFonts w:eastAsia="Times New Roman"/>
          <w:sz w:val="24"/>
          <w:szCs w:val="24"/>
        </w:rPr>
        <w:t xml:space="preserve">4. Self-insurance pools for special districts are separate entities “created by intergovernmental contract” and are thus “public entities” immune from tort liability for bad faith breach of insurance contract under the Colorado Governmental Immunity Act. </w:t>
      </w:r>
      <w:r w:rsidRPr="001D31A6">
        <w:rPr>
          <w:rFonts w:eastAsia="Times New Roman"/>
          <w:b/>
          <w:sz w:val="24"/>
          <w:szCs w:val="24"/>
        </w:rPr>
        <w:t>Colo. Special Dists. Prop. &amp; Liab. Pool v. Lyons</w:t>
      </w:r>
      <w:r w:rsidRPr="001D31A6">
        <w:rPr>
          <w:rFonts w:eastAsia="Times New Roman"/>
          <w:sz w:val="24"/>
          <w:szCs w:val="24"/>
        </w:rPr>
        <w:t xml:space="preserve">, 2012 COA 18, ¶¶ 28-29, 277 P.3d 874 (citing </w:t>
      </w:r>
      <w:r w:rsidRPr="001D31A6">
        <w:rPr>
          <w:rFonts w:eastAsia="Times New Roman"/>
          <w:b/>
          <w:sz w:val="24"/>
          <w:szCs w:val="24"/>
        </w:rPr>
        <w:t>City of Arvada v. Colo. Intergovernmental Risk Sharing Agency</w:t>
      </w:r>
      <w:r w:rsidRPr="001D31A6">
        <w:rPr>
          <w:rFonts w:eastAsia="Times New Roman"/>
          <w:sz w:val="24"/>
          <w:szCs w:val="24"/>
        </w:rPr>
        <w:t xml:space="preserve">, 19 P.3d 10 (Colo. 2001)). A nonprofit intermediary formed by various counties to provide technical services to self-insurance pools is also immune from liability under the CGIA as an “instrumentality” of the Pool, and alternatively, as a separate public entity created by intergovernmental cooperation. </w:t>
      </w:r>
      <w:r w:rsidRPr="001D31A6">
        <w:rPr>
          <w:rFonts w:eastAsia="Times New Roman"/>
          <w:i/>
          <w:sz w:val="24"/>
          <w:szCs w:val="24"/>
        </w:rPr>
        <w:t xml:space="preserve">Id. </w:t>
      </w:r>
      <w:r w:rsidRPr="001D31A6">
        <w:rPr>
          <w:rFonts w:eastAsia="Times New Roman"/>
          <w:sz w:val="24"/>
          <w:szCs w:val="24"/>
        </w:rPr>
        <w:t>at ¶¶ 45-47.</w:t>
      </w:r>
    </w:p>
    <w:p w14:paraId="613067A1" w14:textId="77777777" w:rsidR="001D31A6" w:rsidRPr="001D31A6" w:rsidRDefault="001D31A6" w:rsidP="001D31A6">
      <w:pPr>
        <w:spacing w:after="240"/>
        <w:ind w:firstLine="720"/>
        <w:rPr>
          <w:rFonts w:eastAsia="Times New Roman"/>
          <w:sz w:val="24"/>
          <w:szCs w:val="24"/>
        </w:rPr>
      </w:pPr>
      <w:r w:rsidRPr="001D31A6">
        <w:rPr>
          <w:rFonts w:eastAsia="Times New Roman"/>
          <w:sz w:val="24"/>
          <w:szCs w:val="24"/>
        </w:rPr>
        <w:t xml:space="preserve">5. Following denial of coverage by its CGL insurer for losses associated with the tear-out and replacement of non-defective work performed by a third-party, a pool subcontractor brought claims against the carrier, an outside claims adjusting company, and an adjuster employee. Finding a covered occurrence, the court of appeals, without discussion, held that the negligent misrepresentation claim based upon allegations that the adjuster stated that the policy would cover the losses presented fact issues as to justifiable reliance that required remand for trial. A conflict between a confirmation of coverage by an insurer’s agent and a policy term will not defeat, as a matter of law, an insured’s assertion of justifiable reliance when the representation involves an ambiguous policy term. </w:t>
      </w:r>
      <w:r w:rsidRPr="001D31A6">
        <w:rPr>
          <w:rFonts w:eastAsia="Times New Roman"/>
          <w:b/>
          <w:sz w:val="24"/>
          <w:szCs w:val="24"/>
        </w:rPr>
        <w:t>Colo. Pool Sys., Inc. v. Scottsdale Ins. Co.</w:t>
      </w:r>
      <w:r w:rsidRPr="001D31A6">
        <w:rPr>
          <w:rFonts w:eastAsia="Times New Roman"/>
          <w:sz w:val="24"/>
          <w:szCs w:val="24"/>
        </w:rPr>
        <w:t xml:space="preserve">, 2012 COA 178, ¶ 61, 317 P.3d 1262. </w:t>
      </w:r>
      <w:r w:rsidRPr="001D31A6">
        <w:rPr>
          <w:rFonts w:eastAsia="Times New Roman"/>
          <w:i/>
          <w:sz w:val="24"/>
          <w:szCs w:val="24"/>
        </w:rPr>
        <w:t xml:space="preserve">See </w:t>
      </w:r>
      <w:r w:rsidRPr="001D31A6">
        <w:rPr>
          <w:rFonts w:eastAsia="Times New Roman"/>
          <w:sz w:val="24"/>
          <w:szCs w:val="24"/>
        </w:rPr>
        <w:t>25:2, Source &amp; Authority 11.</w:t>
      </w:r>
    </w:p>
    <w:p w14:paraId="19047657" w14:textId="77777777" w:rsidR="001D31A6" w:rsidRPr="001D31A6" w:rsidRDefault="001D31A6" w:rsidP="00EE26F9">
      <w:pPr>
        <w:keepNext/>
        <w:rPr>
          <w:rFonts w:eastAsia="Times New Roman"/>
          <w:b/>
          <w:sz w:val="24"/>
          <w:szCs w:val="24"/>
          <w:u w:val="single"/>
        </w:rPr>
      </w:pPr>
      <w:r w:rsidRPr="001D31A6">
        <w:rPr>
          <w:rFonts w:eastAsia="Times New Roman"/>
          <w:b/>
          <w:sz w:val="24"/>
          <w:szCs w:val="24"/>
          <w:u w:val="single"/>
        </w:rPr>
        <w:t>Liability Insurer’s Duty to Defend</w:t>
      </w:r>
    </w:p>
    <w:p w14:paraId="5B3C9BD4" w14:textId="77777777" w:rsidR="001D31A6" w:rsidRPr="001D31A6" w:rsidRDefault="001D31A6" w:rsidP="001D31A6">
      <w:pPr>
        <w:spacing w:after="240"/>
        <w:ind w:firstLine="720"/>
        <w:rPr>
          <w:rFonts w:eastAsia="Times New Roman"/>
          <w:sz w:val="24"/>
          <w:szCs w:val="24"/>
        </w:rPr>
      </w:pPr>
      <w:r w:rsidRPr="001D31A6">
        <w:rPr>
          <w:rFonts w:eastAsia="Times New Roman"/>
          <w:sz w:val="24"/>
          <w:szCs w:val="24"/>
        </w:rPr>
        <w:t xml:space="preserve">6. Several cases discuss an insurer’s duty to defend against third-party claims. </w:t>
      </w:r>
      <w:r w:rsidRPr="001D31A6">
        <w:rPr>
          <w:rFonts w:eastAsia="Times New Roman"/>
          <w:i/>
          <w:sz w:val="24"/>
          <w:szCs w:val="24"/>
        </w:rPr>
        <w:t>See</w:t>
      </w:r>
      <w:r w:rsidRPr="001D31A6">
        <w:rPr>
          <w:rFonts w:eastAsia="Times New Roman"/>
          <w:sz w:val="24"/>
          <w:szCs w:val="24"/>
        </w:rPr>
        <w:t xml:space="preserve"> </w:t>
      </w:r>
      <w:r w:rsidRPr="001D31A6">
        <w:rPr>
          <w:rFonts w:eastAsia="Times New Roman"/>
          <w:b/>
          <w:sz w:val="24"/>
          <w:szCs w:val="24"/>
        </w:rPr>
        <w:t>Cotter Corp. v. Am. Empire Surplus Lines Ins. Co.</w:t>
      </w:r>
      <w:r w:rsidRPr="001D31A6">
        <w:rPr>
          <w:rFonts w:eastAsia="Times New Roman"/>
          <w:sz w:val="24"/>
          <w:szCs w:val="24"/>
        </w:rPr>
        <w:t xml:space="preserve">, 90 P.3d 814 (Colo. 2004); </w:t>
      </w:r>
      <w:r w:rsidRPr="001D31A6">
        <w:rPr>
          <w:rFonts w:eastAsia="Times New Roman"/>
          <w:b/>
          <w:sz w:val="24"/>
          <w:szCs w:val="24"/>
        </w:rPr>
        <w:t>Thompson v. Md. Cas. Co.</w:t>
      </w:r>
      <w:r w:rsidRPr="001D31A6">
        <w:rPr>
          <w:rFonts w:eastAsia="Times New Roman"/>
          <w:sz w:val="24"/>
          <w:szCs w:val="24"/>
        </w:rPr>
        <w:t>,</w:t>
      </w:r>
      <w:r w:rsidRPr="001D31A6">
        <w:rPr>
          <w:rFonts w:eastAsia="Times New Roman"/>
          <w:b/>
          <w:sz w:val="24"/>
          <w:szCs w:val="24"/>
        </w:rPr>
        <w:t xml:space="preserve"> </w:t>
      </w:r>
      <w:r w:rsidRPr="001D31A6">
        <w:rPr>
          <w:rFonts w:eastAsia="Times New Roman"/>
          <w:sz w:val="24"/>
          <w:szCs w:val="24"/>
        </w:rPr>
        <w:t xml:space="preserve">84 P.3d 496 (Colo. 2004); </w:t>
      </w:r>
      <w:r w:rsidRPr="001D31A6">
        <w:rPr>
          <w:rFonts w:eastAsia="Times New Roman"/>
          <w:b/>
          <w:sz w:val="24"/>
          <w:szCs w:val="24"/>
        </w:rPr>
        <w:t>Compass Ins. Co. v. City of Littleton</w:t>
      </w:r>
      <w:r w:rsidRPr="001D31A6">
        <w:rPr>
          <w:rFonts w:eastAsia="Times New Roman"/>
          <w:sz w:val="24"/>
          <w:szCs w:val="24"/>
        </w:rPr>
        <w:t xml:space="preserve">, 984 P.2d 606 (Colo. 1999); </w:t>
      </w:r>
      <w:r w:rsidRPr="001D31A6">
        <w:rPr>
          <w:rFonts w:eastAsia="Times New Roman"/>
          <w:b/>
          <w:sz w:val="24"/>
          <w:szCs w:val="24"/>
        </w:rPr>
        <w:t>Bohrer v. Church Mut. Ins. Co.</w:t>
      </w:r>
      <w:r w:rsidRPr="001D31A6">
        <w:rPr>
          <w:rFonts w:eastAsia="Times New Roman"/>
          <w:sz w:val="24"/>
          <w:szCs w:val="24"/>
        </w:rPr>
        <w:t xml:space="preserve">, 965 P.2d 1258 (Colo. 1998); </w:t>
      </w:r>
      <w:r w:rsidRPr="001D31A6">
        <w:rPr>
          <w:rFonts w:eastAsia="Times New Roman"/>
          <w:b/>
          <w:sz w:val="24"/>
          <w:szCs w:val="24"/>
        </w:rPr>
        <w:t>Constitution Assocs. v. N.H. Ins. Co.</w:t>
      </w:r>
      <w:r w:rsidRPr="001D31A6">
        <w:rPr>
          <w:rFonts w:eastAsia="Times New Roman"/>
          <w:sz w:val="24"/>
          <w:szCs w:val="24"/>
        </w:rPr>
        <w:t xml:space="preserve">, 930 P.2d 556 (Colo. 1996); </w:t>
      </w:r>
      <w:r w:rsidRPr="001D31A6">
        <w:rPr>
          <w:rFonts w:eastAsia="Times New Roman"/>
          <w:b/>
          <w:sz w:val="24"/>
          <w:szCs w:val="24"/>
        </w:rPr>
        <w:t>Hecla Mining Co. v. N.H. Ins. Co.</w:t>
      </w:r>
      <w:r w:rsidRPr="001D31A6">
        <w:rPr>
          <w:rFonts w:eastAsia="Times New Roman"/>
          <w:sz w:val="24"/>
          <w:szCs w:val="24"/>
        </w:rPr>
        <w:t xml:space="preserve">, 811 P.2d 1083 (Colo. 1991); </w:t>
      </w:r>
      <w:r w:rsidRPr="001D31A6">
        <w:rPr>
          <w:rFonts w:eastAsia="Times New Roman"/>
          <w:b/>
          <w:sz w:val="24"/>
          <w:szCs w:val="24"/>
        </w:rPr>
        <w:t>TCD, Inc. v. Am. Family Mut. Ins. Co.</w:t>
      </w:r>
      <w:r w:rsidRPr="001D31A6">
        <w:rPr>
          <w:rFonts w:eastAsia="Times New Roman"/>
          <w:sz w:val="24"/>
          <w:szCs w:val="24"/>
        </w:rPr>
        <w:t xml:space="preserve">, 2012 COA 65, ¶ 11, 296 P.3d 255; </w:t>
      </w:r>
      <w:r w:rsidRPr="001D31A6">
        <w:rPr>
          <w:rFonts w:eastAsia="Times New Roman"/>
          <w:b/>
          <w:sz w:val="24"/>
          <w:szCs w:val="24"/>
        </w:rPr>
        <w:t>Fire Ins. Exch. v. Sullivan</w:t>
      </w:r>
      <w:r w:rsidRPr="001D31A6">
        <w:rPr>
          <w:rFonts w:eastAsia="Times New Roman"/>
          <w:sz w:val="24"/>
          <w:szCs w:val="24"/>
        </w:rPr>
        <w:t xml:space="preserve">, 224 P.3d 348 (Colo. App. 2009); </w:t>
      </w:r>
      <w:r w:rsidRPr="001D31A6">
        <w:rPr>
          <w:rFonts w:eastAsia="Times New Roman"/>
          <w:b/>
          <w:sz w:val="24"/>
          <w:szCs w:val="24"/>
        </w:rPr>
        <w:t>Miller v. Hartford Cas. Ins. Co.</w:t>
      </w:r>
      <w:r w:rsidRPr="001D31A6">
        <w:rPr>
          <w:rFonts w:eastAsia="Times New Roman"/>
          <w:sz w:val="24"/>
          <w:szCs w:val="24"/>
        </w:rPr>
        <w:t xml:space="preserve">, 160 P.3d 408 (Colo. App. 2007) (duty to defend broader than duty to indemnify); </w:t>
      </w:r>
      <w:r w:rsidRPr="001D31A6">
        <w:rPr>
          <w:rFonts w:eastAsia="Times New Roman"/>
          <w:b/>
          <w:sz w:val="24"/>
          <w:szCs w:val="24"/>
        </w:rPr>
        <w:t xml:space="preserve">Bainbridge, Inc. v. </w:t>
      </w:r>
      <w:r w:rsidRPr="001D31A6">
        <w:rPr>
          <w:rFonts w:eastAsia="Times New Roman"/>
          <w:b/>
          <w:sz w:val="24"/>
          <w:szCs w:val="24"/>
        </w:rPr>
        <w:lastRenderedPageBreak/>
        <w:t>Traveler’s Cas. Co.</w:t>
      </w:r>
      <w:r w:rsidRPr="001D31A6">
        <w:rPr>
          <w:rFonts w:eastAsia="Times New Roman"/>
          <w:sz w:val="24"/>
          <w:szCs w:val="24"/>
        </w:rPr>
        <w:t xml:space="preserve">, 159 P.3d 748 (Colo. App. 2006); </w:t>
      </w:r>
      <w:r w:rsidRPr="001D31A6">
        <w:rPr>
          <w:rFonts w:eastAsia="Times New Roman"/>
          <w:b/>
          <w:sz w:val="24"/>
          <w:szCs w:val="24"/>
        </w:rPr>
        <w:t>Leprino v. Nationwide Prop. &amp; Cas. Ins. Co.</w:t>
      </w:r>
      <w:r w:rsidRPr="001D31A6">
        <w:rPr>
          <w:rFonts w:eastAsia="Times New Roman"/>
          <w:sz w:val="24"/>
          <w:szCs w:val="24"/>
        </w:rPr>
        <w:t xml:space="preserve">, 89 P.3d 487 (Colo. App. 2003); </w:t>
      </w:r>
      <w:r w:rsidRPr="001D31A6">
        <w:rPr>
          <w:rFonts w:eastAsia="Times New Roman"/>
          <w:b/>
          <w:sz w:val="24"/>
          <w:szCs w:val="24"/>
        </w:rPr>
        <w:t>Fire Ins. Exch. v. Bentley</w:t>
      </w:r>
      <w:r w:rsidRPr="001D31A6">
        <w:rPr>
          <w:rFonts w:eastAsia="Times New Roman"/>
          <w:sz w:val="24"/>
          <w:szCs w:val="24"/>
        </w:rPr>
        <w:t xml:space="preserve">, 953 P.2d 1297 (Colo. App. 1998); </w:t>
      </w:r>
      <w:r w:rsidRPr="001D31A6">
        <w:rPr>
          <w:rFonts w:eastAsia="Times New Roman"/>
          <w:b/>
          <w:sz w:val="24"/>
          <w:szCs w:val="24"/>
        </w:rPr>
        <w:t>Horace Mann Ins. Co. v. Peters</w:t>
      </w:r>
      <w:r w:rsidRPr="001D31A6">
        <w:rPr>
          <w:rFonts w:eastAsia="Times New Roman"/>
          <w:sz w:val="24"/>
          <w:szCs w:val="24"/>
        </w:rPr>
        <w:t>, 948 P.2d 80 (Colo. App. 1997).</w:t>
      </w:r>
    </w:p>
    <w:p w14:paraId="3F330502" w14:textId="391D9347" w:rsidR="001D31A6" w:rsidRPr="001D31A6" w:rsidRDefault="001D31A6" w:rsidP="001D31A6">
      <w:pPr>
        <w:spacing w:after="240"/>
        <w:ind w:firstLine="720"/>
        <w:rPr>
          <w:rFonts w:eastAsia="Times New Roman"/>
          <w:sz w:val="24"/>
          <w:szCs w:val="24"/>
        </w:rPr>
      </w:pPr>
      <w:r w:rsidRPr="001D31A6">
        <w:rPr>
          <w:rFonts w:eastAsia="Times New Roman"/>
          <w:sz w:val="24"/>
          <w:szCs w:val="24"/>
        </w:rPr>
        <w:t xml:space="preserve">7. A liability insurer’s duty to defend and its duty to indemnify are separate and distinct. </w:t>
      </w:r>
      <w:r w:rsidRPr="001D31A6">
        <w:rPr>
          <w:rFonts w:eastAsia="Times New Roman"/>
          <w:b/>
          <w:sz w:val="24"/>
          <w:szCs w:val="24"/>
        </w:rPr>
        <w:t>Hecla Mining Co.</w:t>
      </w:r>
      <w:r w:rsidRPr="001D31A6">
        <w:rPr>
          <w:rFonts w:eastAsia="Times New Roman"/>
          <w:sz w:val="24"/>
          <w:szCs w:val="24"/>
        </w:rPr>
        <w:t xml:space="preserve">, 811 P.2d at 1086 n.5. Therefore, a bad faith claim for their breach may accrue at different times. </w:t>
      </w:r>
      <w:r w:rsidRPr="001D31A6">
        <w:rPr>
          <w:rFonts w:eastAsia="Times New Roman"/>
          <w:b/>
          <w:sz w:val="24"/>
          <w:szCs w:val="24"/>
        </w:rPr>
        <w:t>Daugherty v. Allstate Ins. Co.</w:t>
      </w:r>
      <w:r w:rsidRPr="001D31A6">
        <w:rPr>
          <w:rFonts w:eastAsia="Times New Roman"/>
          <w:sz w:val="24"/>
          <w:szCs w:val="24"/>
        </w:rPr>
        <w:t>, 55 P.3d 224 (Colo. App. 2002) (claim based on failure to defend accrues when insured is named in a complaint and is aware of insurer’s refusal of coverage; claims based on liability insurer’s failure to indemnify accrue when judgment enters against the insured).</w:t>
      </w:r>
    </w:p>
    <w:p w14:paraId="2353F445" w14:textId="77777777" w:rsidR="001D31A6" w:rsidRPr="001D31A6" w:rsidRDefault="001D31A6" w:rsidP="001D31A6">
      <w:pPr>
        <w:spacing w:after="240"/>
        <w:ind w:firstLine="720"/>
        <w:rPr>
          <w:rFonts w:eastAsia="Times New Roman"/>
          <w:sz w:val="24"/>
          <w:szCs w:val="24"/>
        </w:rPr>
      </w:pPr>
      <w:r w:rsidRPr="001D31A6">
        <w:rPr>
          <w:rFonts w:eastAsia="Times New Roman"/>
          <w:sz w:val="24"/>
          <w:szCs w:val="24"/>
        </w:rPr>
        <w:t xml:space="preserve">8. The ultimate determination of a liability insurer’s duty to defend differs as between those insurers that provide a defense under a reservation of rights until completion of the underlying litigation and those that refuse to defend. </w:t>
      </w:r>
      <w:r w:rsidRPr="001D31A6">
        <w:rPr>
          <w:rFonts w:eastAsia="Times New Roman"/>
          <w:b/>
          <w:sz w:val="24"/>
          <w:szCs w:val="24"/>
        </w:rPr>
        <w:t>Cotter Corp.</w:t>
      </w:r>
      <w:r w:rsidRPr="001D31A6">
        <w:rPr>
          <w:rFonts w:eastAsia="Times New Roman"/>
          <w:sz w:val="24"/>
          <w:szCs w:val="24"/>
        </w:rPr>
        <w:t>,</w:t>
      </w:r>
      <w:r w:rsidRPr="001D31A6">
        <w:rPr>
          <w:rFonts w:eastAsia="Times New Roman"/>
          <w:b/>
          <w:sz w:val="24"/>
          <w:szCs w:val="24"/>
        </w:rPr>
        <w:t xml:space="preserve"> </w:t>
      </w:r>
      <w:r w:rsidRPr="001D31A6">
        <w:rPr>
          <w:rFonts w:eastAsia="Times New Roman"/>
          <w:sz w:val="24"/>
          <w:szCs w:val="24"/>
        </w:rPr>
        <w:t xml:space="preserve">90 P.3d at 827. Whether an insurer ultimately has a duty to indemnify ordinarily presents a fact issue to be determined based upon evidence extrinsic to the complaint after the insured’s liability is fixed through trial or settlement. </w:t>
      </w:r>
      <w:r w:rsidRPr="001D31A6">
        <w:rPr>
          <w:rFonts w:eastAsia="Times New Roman"/>
          <w:b/>
          <w:sz w:val="24"/>
          <w:szCs w:val="24"/>
        </w:rPr>
        <w:t>Cyprus Amax Minerals Co. v. Lexington Ins. Co.</w:t>
      </w:r>
      <w:r w:rsidRPr="001D31A6">
        <w:rPr>
          <w:rFonts w:eastAsia="Times New Roman"/>
          <w:sz w:val="24"/>
          <w:szCs w:val="24"/>
        </w:rPr>
        <w:t xml:space="preserve">, 74 P.3d 294, 301 (Colo. 2003) (while the duty to defend under a standard liability policy is triggered when allegations of a complaint, liberally construed, state an arguably covered claim, the duty to indemnify arises “only when the policy actually covers the harm and typically cannot be determined until the resolution of the underlying claims”; construing a pure indemnity policy); </w:t>
      </w:r>
      <w:r w:rsidRPr="001D31A6">
        <w:rPr>
          <w:rFonts w:eastAsia="Times New Roman"/>
          <w:i/>
          <w:sz w:val="24"/>
          <w:szCs w:val="24"/>
        </w:rPr>
        <w:t>see also</w:t>
      </w:r>
      <w:r w:rsidRPr="001D31A6">
        <w:rPr>
          <w:rFonts w:eastAsia="Times New Roman"/>
          <w:sz w:val="24"/>
          <w:szCs w:val="24"/>
        </w:rPr>
        <w:t xml:space="preserve"> </w:t>
      </w:r>
      <w:r w:rsidRPr="001D31A6">
        <w:rPr>
          <w:rFonts w:eastAsia="Times New Roman"/>
          <w:b/>
          <w:sz w:val="24"/>
          <w:szCs w:val="24"/>
        </w:rPr>
        <w:t>Thompson</w:t>
      </w:r>
      <w:r w:rsidRPr="001D31A6">
        <w:rPr>
          <w:rFonts w:eastAsia="Times New Roman"/>
          <w:sz w:val="24"/>
          <w:szCs w:val="24"/>
        </w:rPr>
        <w:t xml:space="preserve">, 84 P.3d at 502 (duty to defend against specified causes of action is determined by comparing factual allegations in the complaint, without regard to claim labels, with legal elements of covered claims as defined by case law); </w:t>
      </w:r>
      <w:r w:rsidRPr="001D31A6">
        <w:rPr>
          <w:rFonts w:eastAsia="Times New Roman"/>
          <w:b/>
          <w:sz w:val="24"/>
          <w:szCs w:val="24"/>
        </w:rPr>
        <w:t>Lafarge N. Am., Inc. v. K.E.C.I. Colo., Inc.</w:t>
      </w:r>
      <w:r w:rsidRPr="001D31A6">
        <w:rPr>
          <w:rFonts w:eastAsia="Times New Roman"/>
          <w:sz w:val="24"/>
          <w:szCs w:val="24"/>
        </w:rPr>
        <w:t>, 250 P.3d 682 (Colo. App. 2010) (under indemnification clause of construction contract, duty to indemnify not triggered until fault determined, while duty to defend triggered by mere allegation of fault).</w:t>
      </w:r>
    </w:p>
    <w:p w14:paraId="66CECD09" w14:textId="0DFEE682" w:rsidR="001D31A6" w:rsidRPr="001D31A6" w:rsidRDefault="001D31A6" w:rsidP="001D31A6">
      <w:pPr>
        <w:spacing w:after="240"/>
        <w:ind w:firstLine="720"/>
        <w:rPr>
          <w:rFonts w:eastAsia="Times New Roman"/>
          <w:sz w:val="24"/>
          <w:szCs w:val="24"/>
        </w:rPr>
      </w:pPr>
      <w:r w:rsidRPr="001D31A6">
        <w:rPr>
          <w:rFonts w:eastAsia="Times New Roman"/>
          <w:sz w:val="24"/>
          <w:szCs w:val="24"/>
        </w:rPr>
        <w:t xml:space="preserve">9. An insurer defending an insured </w:t>
      </w:r>
      <w:r w:rsidR="00414C93">
        <w:rPr>
          <w:rFonts w:eastAsia="Times New Roman"/>
          <w:sz w:val="24"/>
          <w:szCs w:val="24"/>
        </w:rPr>
        <w:t>under a reservation of rights “</w:t>
      </w:r>
      <w:r w:rsidRPr="001D31A6">
        <w:rPr>
          <w:rFonts w:eastAsia="Times New Roman"/>
          <w:sz w:val="24"/>
          <w:szCs w:val="24"/>
        </w:rPr>
        <w:t>does not ordinarily waive its policy defenses by payment of settl</w:t>
      </w:r>
      <w:r w:rsidR="00231719">
        <w:rPr>
          <w:rFonts w:eastAsia="Times New Roman"/>
          <w:sz w:val="24"/>
          <w:szCs w:val="24"/>
        </w:rPr>
        <w:t xml:space="preserve">ement proceeds to a claimant.” </w:t>
      </w:r>
      <w:r w:rsidRPr="001D31A6">
        <w:rPr>
          <w:rFonts w:eastAsia="Times New Roman"/>
          <w:b/>
          <w:sz w:val="24"/>
          <w:szCs w:val="24"/>
        </w:rPr>
        <w:t xml:space="preserve">Mt. Hawley Ins. Co. v. Casson Duncan Constr., Inc., </w:t>
      </w:r>
      <w:r w:rsidRPr="001D31A6">
        <w:rPr>
          <w:rFonts w:eastAsia="Times New Roman"/>
          <w:sz w:val="24"/>
          <w:szCs w:val="24"/>
        </w:rPr>
        <w:t>2016 COA 164, ¶ 8</w:t>
      </w:r>
      <w:r w:rsidR="0000771A">
        <w:rPr>
          <w:rFonts w:eastAsia="Times New Roman"/>
          <w:sz w:val="24"/>
          <w:szCs w:val="24"/>
        </w:rPr>
        <w:t>, 409 P.3d 619</w:t>
      </w:r>
      <w:r w:rsidRPr="001D31A6">
        <w:rPr>
          <w:rFonts w:eastAsia="Times New Roman"/>
          <w:sz w:val="24"/>
          <w:szCs w:val="24"/>
        </w:rPr>
        <w:t xml:space="preserve"> (citing</w:t>
      </w:r>
      <w:r w:rsidRPr="001D31A6">
        <w:rPr>
          <w:rFonts w:eastAsia="Times New Roman"/>
          <w:i/>
          <w:sz w:val="24"/>
          <w:szCs w:val="24"/>
        </w:rPr>
        <w:t xml:space="preserve"> </w:t>
      </w:r>
      <w:r w:rsidRPr="001D31A6">
        <w:rPr>
          <w:rFonts w:eastAsia="Times New Roman"/>
          <w:b/>
          <w:sz w:val="24"/>
          <w:szCs w:val="24"/>
        </w:rPr>
        <w:t>Nikolai v. Farmers All. Mut. Ins. Co.</w:t>
      </w:r>
      <w:r w:rsidRPr="001D31A6">
        <w:rPr>
          <w:rFonts w:eastAsia="Times New Roman"/>
          <w:sz w:val="24"/>
          <w:szCs w:val="24"/>
        </w:rPr>
        <w:t>, 830 P.2d</w:t>
      </w:r>
      <w:r w:rsidR="00231719">
        <w:rPr>
          <w:rFonts w:eastAsia="Times New Roman"/>
          <w:sz w:val="24"/>
          <w:szCs w:val="24"/>
        </w:rPr>
        <w:t xml:space="preserve"> 1070, 1073 (Colo. App. 1991)).</w:t>
      </w:r>
      <w:r w:rsidRPr="001D31A6">
        <w:rPr>
          <w:rFonts w:eastAsia="Times New Roman"/>
          <w:sz w:val="24"/>
          <w:szCs w:val="24"/>
        </w:rPr>
        <w:t xml:space="preserve"> Indemnity coverage issues between insurer and insured when the insurer settles a third-party claim defended under a reservation of rights may be determined in a declaratory judgment or garnishment proceeding. </w:t>
      </w:r>
      <w:r w:rsidRPr="001D31A6">
        <w:rPr>
          <w:rFonts w:eastAsia="Times New Roman"/>
          <w:i/>
          <w:sz w:val="24"/>
          <w:szCs w:val="24"/>
        </w:rPr>
        <w:t>Id.</w:t>
      </w:r>
      <w:r w:rsidRPr="001D31A6">
        <w:rPr>
          <w:rFonts w:eastAsia="Times New Roman"/>
          <w:sz w:val="24"/>
          <w:szCs w:val="24"/>
        </w:rPr>
        <w:t xml:space="preserve"> (citing</w:t>
      </w:r>
      <w:r w:rsidRPr="001D31A6">
        <w:rPr>
          <w:rFonts w:eastAsia="Times New Roman"/>
          <w:i/>
          <w:sz w:val="24"/>
          <w:szCs w:val="24"/>
        </w:rPr>
        <w:t xml:space="preserve"> </w:t>
      </w:r>
      <w:r w:rsidRPr="001D31A6">
        <w:rPr>
          <w:rFonts w:eastAsia="Times New Roman"/>
          <w:b/>
          <w:sz w:val="24"/>
          <w:szCs w:val="24"/>
        </w:rPr>
        <w:t>Bohrer</w:t>
      </w:r>
      <w:r w:rsidRPr="001D31A6">
        <w:rPr>
          <w:rFonts w:eastAsia="Times New Roman"/>
          <w:sz w:val="24"/>
          <w:szCs w:val="24"/>
        </w:rPr>
        <w:t>, 965 P.2d at 1261-67 &amp; n.7).</w:t>
      </w:r>
    </w:p>
    <w:p w14:paraId="269CC789" w14:textId="09E46FE9" w:rsidR="001D31A6" w:rsidRPr="001D31A6" w:rsidRDefault="001D31A6" w:rsidP="001D31A6">
      <w:pPr>
        <w:spacing w:after="240"/>
        <w:ind w:firstLine="720"/>
        <w:rPr>
          <w:rFonts w:eastAsia="Times New Roman"/>
          <w:b/>
          <w:sz w:val="24"/>
          <w:szCs w:val="24"/>
        </w:rPr>
      </w:pPr>
      <w:r w:rsidRPr="001D31A6">
        <w:rPr>
          <w:rFonts w:eastAsia="Times New Roman"/>
          <w:sz w:val="24"/>
          <w:szCs w:val="24"/>
        </w:rPr>
        <w:t xml:space="preserve">10. </w:t>
      </w:r>
      <w:r w:rsidRPr="001D31A6">
        <w:rPr>
          <w:rFonts w:eastAsia="Times New Roman"/>
          <w:b/>
          <w:sz w:val="24"/>
          <w:szCs w:val="24"/>
        </w:rPr>
        <w:t>Hecla Mining Co.</w:t>
      </w:r>
      <w:r w:rsidRPr="001D31A6">
        <w:rPr>
          <w:rFonts w:eastAsia="Times New Roman"/>
          <w:sz w:val="24"/>
          <w:szCs w:val="24"/>
        </w:rPr>
        <w:t>, 811 P.2d at1083, 1089, held that an insurer that defends the insured under a reservation of rights may seek reimbursement of defense costs after settlement or following trial if the facts at trial or determined in a declaratory judgment action prove that the claim was not covered</w:t>
      </w:r>
      <w:r w:rsidR="00231719">
        <w:rPr>
          <w:rFonts w:eastAsia="Times New Roman"/>
          <w:sz w:val="24"/>
          <w:szCs w:val="24"/>
        </w:rPr>
        <w:t>.</w:t>
      </w:r>
      <w:r w:rsidRPr="001D31A6">
        <w:rPr>
          <w:rFonts w:eastAsia="Times New Roman"/>
          <w:sz w:val="24"/>
          <w:szCs w:val="24"/>
        </w:rPr>
        <w:t xml:space="preserve"> </w:t>
      </w:r>
    </w:p>
    <w:p w14:paraId="679F9082" w14:textId="7D3836E0" w:rsidR="001D31A6" w:rsidRPr="001D31A6" w:rsidRDefault="001D31A6" w:rsidP="001D31A6">
      <w:pPr>
        <w:spacing w:after="240"/>
        <w:ind w:firstLine="720"/>
        <w:rPr>
          <w:rFonts w:eastAsia="Times New Roman"/>
          <w:sz w:val="24"/>
          <w:szCs w:val="24"/>
        </w:rPr>
      </w:pPr>
      <w:r w:rsidRPr="001D31A6">
        <w:rPr>
          <w:rFonts w:eastAsia="Times New Roman"/>
          <w:sz w:val="24"/>
          <w:szCs w:val="24"/>
        </w:rPr>
        <w:t xml:space="preserve">11. The </w:t>
      </w:r>
      <w:r w:rsidRPr="001D31A6">
        <w:rPr>
          <w:rFonts w:eastAsia="Times New Roman"/>
          <w:b/>
          <w:sz w:val="24"/>
          <w:szCs w:val="24"/>
        </w:rPr>
        <w:t xml:space="preserve">Hecla </w:t>
      </w:r>
      <w:r w:rsidRPr="001D31A6">
        <w:rPr>
          <w:rFonts w:eastAsia="Times New Roman"/>
          <w:sz w:val="24"/>
          <w:szCs w:val="24"/>
        </w:rPr>
        <w:t xml:space="preserve">remedy seeking reimbursement of defense costs does not extend to costs taxed against an insured paid by the insurer unless expressly provided in the policy. “Defense costs” are different from “taxable costs” in liability policies that contains a separate supplementary payments section providing that the insurer will pay taxable costs for “any claim” that the insurer defends or settles. </w:t>
      </w:r>
      <w:r w:rsidRPr="001D31A6">
        <w:rPr>
          <w:rFonts w:eastAsia="Times New Roman"/>
          <w:b/>
          <w:sz w:val="24"/>
          <w:szCs w:val="24"/>
        </w:rPr>
        <w:t xml:space="preserve">Mt. Hawley Ins. Co., </w:t>
      </w:r>
      <w:r w:rsidRPr="001D31A6">
        <w:rPr>
          <w:rFonts w:eastAsia="Times New Roman"/>
          <w:sz w:val="24"/>
          <w:szCs w:val="24"/>
        </w:rPr>
        <w:t>¶¶ 10-25</w:t>
      </w:r>
      <w:r w:rsidR="00BA2682">
        <w:rPr>
          <w:rFonts w:eastAsia="Times New Roman"/>
          <w:sz w:val="24"/>
          <w:szCs w:val="24"/>
        </w:rPr>
        <w:t>, 409 P.3d at 621</w:t>
      </w:r>
      <w:r w:rsidRPr="001D31A6">
        <w:rPr>
          <w:rFonts w:eastAsia="Times New Roman"/>
          <w:sz w:val="24"/>
          <w:szCs w:val="24"/>
        </w:rPr>
        <w:t xml:space="preserve"> (rejecting insurer’s argument that the policy supplemental payment provision was “superseded” by its r</w:t>
      </w:r>
      <w:r w:rsidR="00231719">
        <w:rPr>
          <w:rFonts w:eastAsia="Times New Roman"/>
          <w:sz w:val="24"/>
          <w:szCs w:val="24"/>
        </w:rPr>
        <w:t>eservation of rights letter).</w:t>
      </w:r>
    </w:p>
    <w:p w14:paraId="6F77BED7" w14:textId="4EAA784D" w:rsidR="001D31A6" w:rsidRPr="001D31A6" w:rsidRDefault="00EE26F9" w:rsidP="001D31A6">
      <w:pPr>
        <w:spacing w:after="240"/>
        <w:ind w:firstLine="720"/>
        <w:rPr>
          <w:rFonts w:eastAsia="Times New Roman"/>
          <w:sz w:val="24"/>
          <w:szCs w:val="24"/>
        </w:rPr>
      </w:pPr>
      <w:r>
        <w:rPr>
          <w:rFonts w:eastAsia="Times New Roman"/>
          <w:sz w:val="24"/>
          <w:szCs w:val="24"/>
        </w:rPr>
        <w:lastRenderedPageBreak/>
        <w:t>1</w:t>
      </w:r>
      <w:r w:rsidR="001D31A6" w:rsidRPr="001D31A6">
        <w:rPr>
          <w:rFonts w:eastAsia="Times New Roman"/>
          <w:sz w:val="24"/>
          <w:szCs w:val="24"/>
        </w:rPr>
        <w:t xml:space="preserve">2. A liability insurer’s refusal to defend an action brought against the insured arises in the third-party context and is governed by the standard of reasonableness under the circumstances. </w:t>
      </w:r>
      <w:r w:rsidR="001D31A6" w:rsidRPr="001D31A6">
        <w:rPr>
          <w:rFonts w:eastAsia="Times New Roman"/>
          <w:b/>
          <w:sz w:val="24"/>
          <w:szCs w:val="24"/>
        </w:rPr>
        <w:t>Nunn v. Mid-Century Ins. Co.</w:t>
      </w:r>
      <w:r w:rsidR="001D31A6" w:rsidRPr="001D31A6">
        <w:rPr>
          <w:rFonts w:eastAsia="Times New Roman"/>
          <w:sz w:val="24"/>
          <w:szCs w:val="24"/>
        </w:rPr>
        <w:t xml:space="preserve">, 244 P.3d 116 (Colo. 2010) (citing </w:t>
      </w:r>
      <w:r w:rsidR="001D31A6" w:rsidRPr="001D31A6">
        <w:rPr>
          <w:rFonts w:eastAsia="Times New Roman"/>
          <w:b/>
          <w:sz w:val="24"/>
          <w:szCs w:val="24"/>
        </w:rPr>
        <w:t>Trimble</w:t>
      </w:r>
      <w:r w:rsidR="001D31A6" w:rsidRPr="001D31A6">
        <w:rPr>
          <w:rFonts w:eastAsia="Times New Roman"/>
          <w:sz w:val="24"/>
          <w:szCs w:val="24"/>
        </w:rPr>
        <w:t xml:space="preserve">, 691 P.2d </w:t>
      </w:r>
      <w:r w:rsidR="005A3434">
        <w:rPr>
          <w:rFonts w:eastAsia="Times New Roman"/>
          <w:sz w:val="24"/>
          <w:szCs w:val="24"/>
        </w:rPr>
        <w:t xml:space="preserve">at </w:t>
      </w:r>
      <w:r w:rsidR="001D31A6" w:rsidRPr="001D31A6">
        <w:rPr>
          <w:rFonts w:eastAsia="Times New Roman"/>
          <w:sz w:val="24"/>
          <w:szCs w:val="24"/>
        </w:rPr>
        <w:t>11</w:t>
      </w:r>
      <w:r w:rsidR="005A3434">
        <w:rPr>
          <w:rFonts w:eastAsia="Times New Roman"/>
          <w:sz w:val="24"/>
          <w:szCs w:val="24"/>
        </w:rPr>
        <w:t>42</w:t>
      </w:r>
      <w:r w:rsidR="001D31A6" w:rsidRPr="001D31A6">
        <w:rPr>
          <w:rFonts w:eastAsia="Times New Roman"/>
          <w:sz w:val="24"/>
          <w:szCs w:val="24"/>
        </w:rPr>
        <w:t xml:space="preserve">); </w:t>
      </w:r>
      <w:r w:rsidR="001D31A6" w:rsidRPr="001D31A6">
        <w:rPr>
          <w:rFonts w:eastAsia="Times New Roman"/>
          <w:b/>
          <w:sz w:val="24"/>
          <w:szCs w:val="24"/>
        </w:rPr>
        <w:t>Goodson</w:t>
      </w:r>
      <w:r w:rsidR="001D31A6" w:rsidRPr="00EE26F9">
        <w:rPr>
          <w:rFonts w:eastAsia="Times New Roman"/>
          <w:sz w:val="24"/>
          <w:szCs w:val="24"/>
        </w:rPr>
        <w:t>,</w:t>
      </w:r>
      <w:r w:rsidR="001D31A6" w:rsidRPr="001D31A6">
        <w:rPr>
          <w:rFonts w:eastAsia="Times New Roman"/>
          <w:b/>
          <w:sz w:val="24"/>
          <w:szCs w:val="24"/>
        </w:rPr>
        <w:t xml:space="preserve"> </w:t>
      </w:r>
      <w:r w:rsidR="001D31A6" w:rsidRPr="001D31A6">
        <w:rPr>
          <w:rFonts w:eastAsia="Times New Roman"/>
          <w:sz w:val="24"/>
          <w:szCs w:val="24"/>
        </w:rPr>
        <w:t xml:space="preserve">89 P.3d at 415 (same); </w:t>
      </w:r>
      <w:r w:rsidR="001D31A6" w:rsidRPr="001D31A6">
        <w:rPr>
          <w:rFonts w:eastAsia="Times New Roman"/>
          <w:b/>
          <w:sz w:val="24"/>
          <w:szCs w:val="24"/>
        </w:rPr>
        <w:t>Wheeler v. Reese</w:t>
      </w:r>
      <w:r w:rsidR="001D31A6" w:rsidRPr="001D31A6">
        <w:rPr>
          <w:rFonts w:eastAsia="Times New Roman"/>
          <w:sz w:val="24"/>
          <w:szCs w:val="24"/>
        </w:rPr>
        <w:t xml:space="preserve">, 835 P.2d 572 (Colo. App. 1992) (same). </w:t>
      </w:r>
      <w:r w:rsidR="001D31A6" w:rsidRPr="001D31A6">
        <w:rPr>
          <w:rFonts w:eastAsia="Times New Roman"/>
          <w:i/>
          <w:sz w:val="24"/>
          <w:szCs w:val="24"/>
        </w:rPr>
        <w:t xml:space="preserve">But see </w:t>
      </w:r>
      <w:r w:rsidR="001D31A6" w:rsidRPr="001D31A6">
        <w:rPr>
          <w:rFonts w:eastAsia="Times New Roman"/>
          <w:sz w:val="24"/>
          <w:szCs w:val="24"/>
        </w:rPr>
        <w:t xml:space="preserve">§ 13-20-808(b)(II), C.R.S. (the legislature has declared that the duty to defend under a liability policy issued to a construction professional is a “first-party benefit to and claim on behalf of the insured”). </w:t>
      </w:r>
    </w:p>
    <w:p w14:paraId="5FE1225C" w14:textId="77777777" w:rsidR="001D31A6" w:rsidRPr="001D31A6" w:rsidRDefault="001D31A6" w:rsidP="00EE26F9">
      <w:pPr>
        <w:keepNext/>
        <w:rPr>
          <w:rFonts w:eastAsia="Times New Roman"/>
          <w:b/>
          <w:sz w:val="24"/>
          <w:szCs w:val="24"/>
          <w:u w:val="single"/>
        </w:rPr>
      </w:pPr>
      <w:r w:rsidRPr="001D31A6">
        <w:rPr>
          <w:rFonts w:eastAsia="Times New Roman"/>
          <w:b/>
          <w:sz w:val="24"/>
          <w:szCs w:val="24"/>
          <w:u w:val="single"/>
        </w:rPr>
        <w:t>Assignments of Insured’s Claims</w:t>
      </w:r>
    </w:p>
    <w:p w14:paraId="5AEFFEC2" w14:textId="77777777" w:rsidR="001D31A6" w:rsidRPr="001D31A6" w:rsidRDefault="001D31A6" w:rsidP="001D31A6">
      <w:pPr>
        <w:spacing w:after="240"/>
        <w:ind w:firstLine="720"/>
        <w:rPr>
          <w:rFonts w:eastAsia="Times New Roman"/>
          <w:sz w:val="24"/>
          <w:szCs w:val="24"/>
        </w:rPr>
      </w:pPr>
      <w:r w:rsidRPr="001D31A6">
        <w:rPr>
          <w:rFonts w:eastAsia="Times New Roman"/>
          <w:sz w:val="24"/>
          <w:szCs w:val="24"/>
        </w:rPr>
        <w:t>13. In</w:t>
      </w:r>
      <w:r w:rsidRPr="001D31A6">
        <w:rPr>
          <w:rFonts w:eastAsia="Times New Roman"/>
          <w:b/>
          <w:sz w:val="24"/>
          <w:szCs w:val="24"/>
        </w:rPr>
        <w:t xml:space="preserve"> Bashor v. Northland Insurance Co.</w:t>
      </w:r>
      <w:r w:rsidRPr="001D31A6">
        <w:rPr>
          <w:rFonts w:eastAsia="Times New Roman"/>
          <w:sz w:val="24"/>
          <w:szCs w:val="24"/>
        </w:rPr>
        <w:t xml:space="preserve">, 29 Colo. App. 81, 480 P.2d 864 (1970), </w:t>
      </w:r>
      <w:r w:rsidRPr="001D31A6">
        <w:rPr>
          <w:rFonts w:eastAsia="Times New Roman"/>
          <w:i/>
          <w:sz w:val="24"/>
          <w:szCs w:val="24"/>
        </w:rPr>
        <w:t>aff’d</w:t>
      </w:r>
      <w:r w:rsidRPr="001D31A6">
        <w:rPr>
          <w:rFonts w:eastAsia="Times New Roman"/>
          <w:sz w:val="24"/>
          <w:szCs w:val="24"/>
        </w:rPr>
        <w:t>, 177 Colo. 463, 494 P.2d 1292 (1972),</w:t>
      </w:r>
      <w:r w:rsidRPr="001D31A6">
        <w:rPr>
          <w:rFonts w:eastAsia="Times New Roman"/>
          <w:i/>
          <w:sz w:val="24"/>
          <w:szCs w:val="24"/>
        </w:rPr>
        <w:t xml:space="preserve"> </w:t>
      </w:r>
      <w:r w:rsidRPr="001D31A6">
        <w:rPr>
          <w:rFonts w:eastAsia="Times New Roman"/>
          <w:sz w:val="24"/>
          <w:szCs w:val="24"/>
        </w:rPr>
        <w:t xml:space="preserve">a jury trial resulted in a judgment in excess of insurance policy limits against an insured whose liability insurer failed to settle a third-party claim within those limits. After the judgment creditor attempted to execute on the judgment, the insured agreed to pay the injured party only a portion of the judgment and to pursue claims against the insurer and share any recovery with the plaintiff in return for an agreement that plaintiff would cease further efforts to execute on the judgment. Based on the wording of the contract specifying that there would be no satisfaction of the judgment until the insured exhausted his remedies against the insurer, the court rejected the insurer’s argument that the agreement not to execute was a satisfaction of the remaining judgment that limited its liability to the payment made by the insured. </w:t>
      </w:r>
    </w:p>
    <w:p w14:paraId="440D426D" w14:textId="77777777" w:rsidR="001D31A6" w:rsidRPr="001D31A6" w:rsidRDefault="001D31A6" w:rsidP="001D31A6">
      <w:pPr>
        <w:spacing w:after="240"/>
        <w:ind w:firstLine="720"/>
        <w:rPr>
          <w:rFonts w:eastAsia="Times New Roman"/>
          <w:sz w:val="24"/>
          <w:szCs w:val="24"/>
        </w:rPr>
      </w:pPr>
      <w:r w:rsidRPr="001D31A6">
        <w:rPr>
          <w:rFonts w:eastAsia="Times New Roman"/>
          <w:sz w:val="24"/>
          <w:szCs w:val="24"/>
        </w:rPr>
        <w:t xml:space="preserve">14. In </w:t>
      </w:r>
      <w:r w:rsidRPr="001D31A6">
        <w:rPr>
          <w:rFonts w:eastAsia="Times New Roman"/>
          <w:b/>
          <w:sz w:val="24"/>
          <w:szCs w:val="24"/>
        </w:rPr>
        <w:t>Old Republic Insurance Co. v. Ross</w:t>
      </w:r>
      <w:r w:rsidRPr="001D31A6">
        <w:rPr>
          <w:rFonts w:eastAsia="Times New Roman"/>
          <w:sz w:val="24"/>
          <w:szCs w:val="24"/>
        </w:rPr>
        <w:t xml:space="preserve">, 180 P.3d 427 (Colo. 2008), the supreme court addressed, as a matter of first impression, the enforceability of a </w:t>
      </w:r>
      <w:r w:rsidRPr="001D31A6">
        <w:rPr>
          <w:rFonts w:eastAsia="Times New Roman"/>
          <w:b/>
          <w:sz w:val="24"/>
          <w:szCs w:val="24"/>
        </w:rPr>
        <w:t>Bashor</w:t>
      </w:r>
      <w:r w:rsidRPr="001D31A6">
        <w:rPr>
          <w:rFonts w:eastAsia="Times New Roman"/>
          <w:sz w:val="24"/>
          <w:szCs w:val="24"/>
        </w:rPr>
        <w:t xml:space="preserve">-type agreement based on a stipulated judgment entered into without a trial. The court held that, “where the insurer has conceded coverage and defended its insured, and where there has been no finding of bad faith against the insurer, the insurer cannot be bound by a pretrial settlement agreement and stipulated judgment to which it was not a party.” </w:t>
      </w:r>
      <w:r w:rsidRPr="001D31A6">
        <w:rPr>
          <w:rFonts w:eastAsia="Times New Roman"/>
          <w:i/>
          <w:sz w:val="24"/>
          <w:szCs w:val="24"/>
        </w:rPr>
        <w:t xml:space="preserve">Id. </w:t>
      </w:r>
      <w:r w:rsidRPr="001D31A6">
        <w:rPr>
          <w:rFonts w:eastAsia="Times New Roman"/>
          <w:sz w:val="24"/>
          <w:szCs w:val="24"/>
        </w:rPr>
        <w:t xml:space="preserve">at 437. The court stated, however, “we decline to hold that pretrial stipulated judgments are per se unenforceable under </w:t>
      </w:r>
      <w:r w:rsidRPr="001D31A6">
        <w:rPr>
          <w:rFonts w:eastAsia="Times New Roman"/>
          <w:b/>
          <w:sz w:val="24"/>
          <w:szCs w:val="24"/>
        </w:rPr>
        <w:t>Bashor</w:t>
      </w:r>
      <w:r w:rsidRPr="001D31A6">
        <w:rPr>
          <w:rFonts w:eastAsia="Times New Roman"/>
          <w:sz w:val="24"/>
          <w:szCs w:val="24"/>
        </w:rPr>
        <w:t xml:space="preserve">,” </w:t>
      </w:r>
      <w:r w:rsidRPr="001D31A6">
        <w:rPr>
          <w:rFonts w:eastAsia="Times New Roman"/>
          <w:i/>
          <w:sz w:val="24"/>
          <w:szCs w:val="24"/>
        </w:rPr>
        <w:t>id.</w:t>
      </w:r>
      <w:r w:rsidRPr="001D31A6">
        <w:rPr>
          <w:rFonts w:eastAsia="Times New Roman"/>
          <w:sz w:val="24"/>
          <w:szCs w:val="24"/>
        </w:rPr>
        <w:t xml:space="preserve"> at 433, concluding that enforceability depends upon the circumstances of each case.</w:t>
      </w:r>
    </w:p>
    <w:p w14:paraId="4BBA234B" w14:textId="77777777" w:rsidR="001D31A6" w:rsidRPr="001D31A6" w:rsidRDefault="001D31A6" w:rsidP="001D31A6">
      <w:pPr>
        <w:spacing w:after="240"/>
        <w:ind w:firstLine="720"/>
        <w:rPr>
          <w:rFonts w:eastAsia="Times New Roman"/>
          <w:sz w:val="24"/>
          <w:szCs w:val="24"/>
        </w:rPr>
      </w:pPr>
      <w:r w:rsidRPr="001D31A6">
        <w:rPr>
          <w:rFonts w:eastAsia="Times New Roman"/>
          <w:sz w:val="24"/>
          <w:szCs w:val="24"/>
        </w:rPr>
        <w:t xml:space="preserve">15. In </w:t>
      </w:r>
      <w:r w:rsidRPr="001D31A6">
        <w:rPr>
          <w:rFonts w:eastAsia="Times New Roman"/>
          <w:b/>
          <w:sz w:val="24"/>
          <w:szCs w:val="24"/>
        </w:rPr>
        <w:t>Nunn</w:t>
      </w:r>
      <w:r w:rsidRPr="001D31A6">
        <w:rPr>
          <w:rFonts w:eastAsia="Times New Roman"/>
          <w:sz w:val="24"/>
          <w:szCs w:val="24"/>
        </w:rPr>
        <w:t xml:space="preserve">, 244 P.3d at 117, the supreme court held that, for purposes of summary judgment, pretrial entry of a stipulated judgment in excess of policy limits against an insured established actual damages sufficient to support a claim in an assigned action against the liability insurer for bad-faith failure to settle a third-party claim within the policy limits. The insured’s nonpayment of the judgment and receipt of a covenant not to execute on that judgment did not negate the damages element of the bad-faith claim. The court rejected the “prepayment rule” on which the lower court relied as inconsistent with </w:t>
      </w:r>
      <w:r w:rsidRPr="001D31A6">
        <w:rPr>
          <w:rFonts w:eastAsia="Times New Roman"/>
          <w:b/>
          <w:sz w:val="24"/>
          <w:szCs w:val="24"/>
        </w:rPr>
        <w:t>Bashor</w:t>
      </w:r>
      <w:r w:rsidRPr="001D31A6">
        <w:rPr>
          <w:rFonts w:eastAsia="Times New Roman"/>
          <w:sz w:val="24"/>
          <w:szCs w:val="24"/>
        </w:rPr>
        <w:t xml:space="preserve"> and </w:t>
      </w:r>
      <w:r w:rsidRPr="001D31A6">
        <w:rPr>
          <w:rFonts w:eastAsia="Times New Roman"/>
          <w:b/>
          <w:sz w:val="24"/>
          <w:szCs w:val="24"/>
        </w:rPr>
        <w:t>Old Republic</w:t>
      </w:r>
      <w:r w:rsidRPr="001D31A6">
        <w:rPr>
          <w:rFonts w:eastAsia="Times New Roman"/>
          <w:sz w:val="24"/>
          <w:szCs w:val="24"/>
        </w:rPr>
        <w:t xml:space="preserve"> and adopted the majority “judgment rule.” However, because it recognized that pretrial stipulated judgments present concerns of fraud or collusion, the court also held that a confessed judgment will not be binding on an insurer until after the insurer is allowed to defend itself in an adversarial proceeding before a neutral fact finder.</w:t>
      </w:r>
    </w:p>
    <w:p w14:paraId="35605A6A" w14:textId="517DF847" w:rsidR="00A85E65" w:rsidRDefault="001D31A6" w:rsidP="00A85E65">
      <w:pPr>
        <w:ind w:firstLine="720"/>
        <w:rPr>
          <w:sz w:val="26"/>
        </w:rPr>
      </w:pPr>
      <w:r w:rsidRPr="001D31A6">
        <w:rPr>
          <w:rFonts w:eastAsia="Times New Roman"/>
          <w:sz w:val="24"/>
          <w:szCs w:val="24"/>
        </w:rPr>
        <w:t xml:space="preserve">16. </w:t>
      </w:r>
      <w:r w:rsidR="001B757B" w:rsidRPr="009C55FF">
        <w:rPr>
          <w:rFonts w:eastAsia="Times New Roman"/>
          <w:sz w:val="24"/>
          <w:szCs w:val="24"/>
        </w:rPr>
        <w:t xml:space="preserve">In </w:t>
      </w:r>
      <w:r w:rsidR="001B757B" w:rsidRPr="009C55FF">
        <w:rPr>
          <w:b/>
          <w:sz w:val="24"/>
          <w:szCs w:val="24"/>
        </w:rPr>
        <w:t>Auto Owners Insurance Co. v. Bolt Factory Lofts Owners Ass</w:t>
      </w:r>
      <w:r w:rsidR="00F86E1F">
        <w:rPr>
          <w:b/>
          <w:sz w:val="24"/>
          <w:szCs w:val="24"/>
        </w:rPr>
        <w:t>’</w:t>
      </w:r>
      <w:r w:rsidR="001B757B" w:rsidRPr="009C55FF">
        <w:rPr>
          <w:b/>
          <w:sz w:val="24"/>
          <w:szCs w:val="24"/>
        </w:rPr>
        <w:t>n</w:t>
      </w:r>
      <w:r w:rsidR="001B757B" w:rsidRPr="009C55FF">
        <w:rPr>
          <w:sz w:val="24"/>
          <w:szCs w:val="24"/>
        </w:rPr>
        <w:t xml:space="preserve">, 2021 CO 32, 487 P.3d 276, the supreme court held </w:t>
      </w:r>
      <w:r w:rsidR="001B757B">
        <w:rPr>
          <w:sz w:val="24"/>
          <w:szCs w:val="24"/>
        </w:rPr>
        <w:t>that where the</w:t>
      </w:r>
      <w:r w:rsidR="001B757B" w:rsidRPr="009C55FF">
        <w:rPr>
          <w:sz w:val="24"/>
          <w:szCs w:val="24"/>
        </w:rPr>
        <w:t xml:space="preserve"> insured entered into a </w:t>
      </w:r>
      <w:r w:rsidR="001B757B" w:rsidRPr="009C55FF">
        <w:rPr>
          <w:b/>
          <w:sz w:val="24"/>
          <w:szCs w:val="24"/>
        </w:rPr>
        <w:t>Nunn</w:t>
      </w:r>
      <w:r w:rsidR="001B757B" w:rsidRPr="009C55FF">
        <w:rPr>
          <w:sz w:val="24"/>
          <w:szCs w:val="24"/>
        </w:rPr>
        <w:t xml:space="preserve"> agreement with a third-party claimant, but rather than</w:t>
      </w:r>
      <w:r w:rsidR="001B757B">
        <w:rPr>
          <w:sz w:val="24"/>
          <w:szCs w:val="24"/>
        </w:rPr>
        <w:t xml:space="preserve"> agreeing to a stipulated </w:t>
      </w:r>
      <w:r w:rsidR="001B757B" w:rsidRPr="009C55FF">
        <w:rPr>
          <w:sz w:val="24"/>
          <w:szCs w:val="24"/>
        </w:rPr>
        <w:t xml:space="preserve">judgment, </w:t>
      </w:r>
      <w:r w:rsidR="001B757B">
        <w:rPr>
          <w:sz w:val="24"/>
          <w:szCs w:val="24"/>
        </w:rPr>
        <w:t xml:space="preserve">the parties proceeded </w:t>
      </w:r>
      <w:r w:rsidR="001B757B" w:rsidRPr="009C55FF">
        <w:rPr>
          <w:sz w:val="24"/>
          <w:szCs w:val="24"/>
        </w:rPr>
        <w:t>to an uncontested trial to determine liability and damages</w:t>
      </w:r>
      <w:r w:rsidR="001B757B">
        <w:rPr>
          <w:sz w:val="24"/>
          <w:szCs w:val="24"/>
        </w:rPr>
        <w:t xml:space="preserve">, the </w:t>
      </w:r>
      <w:r w:rsidR="001B757B" w:rsidRPr="009C55FF">
        <w:rPr>
          <w:sz w:val="24"/>
          <w:szCs w:val="24"/>
        </w:rPr>
        <w:t xml:space="preserve">insurer defending its insured under a reservation of rights </w:t>
      </w:r>
      <w:r w:rsidR="001B757B">
        <w:rPr>
          <w:sz w:val="24"/>
          <w:szCs w:val="24"/>
        </w:rPr>
        <w:t>was</w:t>
      </w:r>
      <w:r w:rsidR="001B757B" w:rsidRPr="009C55FF">
        <w:rPr>
          <w:sz w:val="24"/>
          <w:szCs w:val="24"/>
        </w:rPr>
        <w:t xml:space="preserve"> not entitled to intervene as of right under C.R.C.P. 24(a)(2). The court </w:t>
      </w:r>
      <w:r w:rsidR="001B757B" w:rsidRPr="009C55FF">
        <w:rPr>
          <w:sz w:val="24"/>
          <w:szCs w:val="24"/>
        </w:rPr>
        <w:lastRenderedPageBreak/>
        <w:t xml:space="preserve">concluded that the insurer’s interest in the litigation was not impaired because the insurer may sufficiently protect its interest in a </w:t>
      </w:r>
      <w:r w:rsidR="001B757B">
        <w:rPr>
          <w:sz w:val="24"/>
          <w:szCs w:val="24"/>
        </w:rPr>
        <w:t>later</w:t>
      </w:r>
      <w:r w:rsidR="001B757B" w:rsidRPr="009C55FF">
        <w:rPr>
          <w:sz w:val="24"/>
          <w:szCs w:val="24"/>
        </w:rPr>
        <w:t xml:space="preserve"> proceeding.</w:t>
      </w:r>
    </w:p>
    <w:p w14:paraId="75D40401" w14:textId="0986C904" w:rsidR="00A85E65" w:rsidRDefault="00A85E65" w:rsidP="00A85E65">
      <w:pPr>
        <w:ind w:firstLine="720"/>
        <w:rPr>
          <w:rFonts w:eastAsia="Times New Roman"/>
          <w:sz w:val="24"/>
          <w:szCs w:val="24"/>
        </w:rPr>
      </w:pPr>
    </w:p>
    <w:p w14:paraId="09C072E5" w14:textId="64266EAA" w:rsidR="00AB2B06" w:rsidRDefault="00A85E65" w:rsidP="001D31A6">
      <w:pPr>
        <w:spacing w:after="240"/>
        <w:ind w:firstLine="720"/>
        <w:rPr>
          <w:sz w:val="24"/>
          <w:szCs w:val="24"/>
        </w:rPr>
      </w:pPr>
      <w:r>
        <w:rPr>
          <w:rFonts w:eastAsia="Times New Roman"/>
          <w:sz w:val="24"/>
          <w:szCs w:val="24"/>
        </w:rPr>
        <w:t xml:space="preserve">17. </w:t>
      </w:r>
      <w:r w:rsidR="001B757B" w:rsidRPr="009C55FF">
        <w:rPr>
          <w:sz w:val="24"/>
          <w:szCs w:val="24"/>
        </w:rPr>
        <w:t xml:space="preserve">In </w:t>
      </w:r>
      <w:r w:rsidR="001B757B" w:rsidRPr="009C55FF">
        <w:rPr>
          <w:b/>
          <w:sz w:val="24"/>
          <w:szCs w:val="24"/>
        </w:rPr>
        <w:t>State Farm Auto Ins. Co. v. Goddard</w:t>
      </w:r>
      <w:r w:rsidR="001B757B" w:rsidRPr="009C55FF">
        <w:rPr>
          <w:sz w:val="24"/>
          <w:szCs w:val="24"/>
        </w:rPr>
        <w:t>, 2021 COA 15, 484 P.3d 765,</w:t>
      </w:r>
      <w:r w:rsidR="001B757B">
        <w:rPr>
          <w:sz w:val="24"/>
          <w:szCs w:val="24"/>
        </w:rPr>
        <w:t xml:space="preserve"> </w:t>
      </w:r>
      <w:r w:rsidR="001B757B" w:rsidRPr="009C55FF">
        <w:rPr>
          <w:sz w:val="24"/>
          <w:szCs w:val="24"/>
        </w:rPr>
        <w:t xml:space="preserve">the court of appeals declined to adopt a blanket rule that an insured cannot, as a matter of law, breach an insurance policy by entering into an agreement like the one contemplated by the supreme court in </w:t>
      </w:r>
      <w:r w:rsidR="001B757B" w:rsidRPr="009C55FF">
        <w:rPr>
          <w:b/>
          <w:sz w:val="24"/>
          <w:szCs w:val="24"/>
        </w:rPr>
        <w:t>Nunn</w:t>
      </w:r>
      <w:r w:rsidR="001B757B" w:rsidRPr="009C55FF">
        <w:rPr>
          <w:sz w:val="24"/>
          <w:szCs w:val="24"/>
        </w:rPr>
        <w:t>. Instead, the court held that, before an insured is justified in stipulating to a judgment and assigning its claims against its insurer to a third-party claimant, it must first appear that the insurer has unreasonably refused to defend the insured or to settle the claim within policy limits. Whether an insurer appears to have acted unreasonably and whether an insured has breached an insurance contract by entering into such an agreement are questions of fact.</w:t>
      </w:r>
      <w:r w:rsidR="00AB2B06">
        <w:rPr>
          <w:sz w:val="24"/>
          <w:szCs w:val="24"/>
        </w:rPr>
        <w:t xml:space="preserve"> </w:t>
      </w:r>
    </w:p>
    <w:p w14:paraId="3EE8C9F7" w14:textId="35AE8955" w:rsidR="001D31A6" w:rsidRPr="001D31A6" w:rsidRDefault="00AB2B06" w:rsidP="001D31A6">
      <w:pPr>
        <w:spacing w:after="240"/>
        <w:ind w:firstLine="720"/>
        <w:rPr>
          <w:rFonts w:eastAsia="Times New Roman"/>
          <w:sz w:val="24"/>
          <w:szCs w:val="24"/>
        </w:rPr>
      </w:pPr>
      <w:r>
        <w:rPr>
          <w:sz w:val="24"/>
          <w:szCs w:val="24"/>
        </w:rPr>
        <w:t>1</w:t>
      </w:r>
      <w:r w:rsidR="00A85E65">
        <w:rPr>
          <w:sz w:val="24"/>
          <w:szCs w:val="24"/>
        </w:rPr>
        <w:t>8</w:t>
      </w:r>
      <w:r>
        <w:rPr>
          <w:sz w:val="24"/>
          <w:szCs w:val="24"/>
        </w:rPr>
        <w:t xml:space="preserve">. </w:t>
      </w:r>
      <w:r w:rsidR="001D31A6" w:rsidRPr="001D31A6">
        <w:rPr>
          <w:rFonts w:eastAsia="Times New Roman"/>
          <w:sz w:val="24"/>
          <w:szCs w:val="24"/>
        </w:rPr>
        <w:t xml:space="preserve">The logic of </w:t>
      </w:r>
      <w:r w:rsidR="001D31A6" w:rsidRPr="001D31A6">
        <w:rPr>
          <w:rFonts w:eastAsia="Times New Roman"/>
          <w:b/>
          <w:sz w:val="24"/>
          <w:szCs w:val="24"/>
        </w:rPr>
        <w:t>Nunn</w:t>
      </w:r>
      <w:r w:rsidR="001D31A6" w:rsidRPr="001D31A6">
        <w:rPr>
          <w:rFonts w:eastAsia="Times New Roman"/>
          <w:sz w:val="24"/>
          <w:szCs w:val="24"/>
        </w:rPr>
        <w:t xml:space="preserve"> applies to a claim against an insurance broker for failure to obtain appropriate coverage or inform the insured that its policy would not cover a risk for which coverage was sought. </w:t>
      </w:r>
      <w:r w:rsidR="001D31A6" w:rsidRPr="001D31A6">
        <w:rPr>
          <w:rFonts w:eastAsia="Times New Roman"/>
          <w:b/>
          <w:sz w:val="24"/>
          <w:szCs w:val="24"/>
        </w:rPr>
        <w:t>DC-10 Entm’t, LLC v. Manor Ins. Agency, Inc.</w:t>
      </w:r>
      <w:r w:rsidR="001D31A6" w:rsidRPr="001D31A6">
        <w:rPr>
          <w:rFonts w:eastAsia="Times New Roman"/>
          <w:sz w:val="24"/>
          <w:szCs w:val="24"/>
        </w:rPr>
        <w:t>, 2013 COA 14, ¶ 14, 308 P.3d 1223. In that case, the insurer of a nightclub denied coverage for a fight between patrons based on an exclusion for assault and battery. The injured patron and the club entered into a pre-judgment assignment of proceeds agreement with damages to be determined by an arbitration judge. The trial court dismissed the case for lack of damages due to the absence of an enforceable judgment. The court of appeals reversed, concluding that, from the perspective of an insured, there was no practical difference between an insurer and a broker when expected coverage was denied and found, as a matter of first impression, that the assignment was valid.</w:t>
      </w:r>
    </w:p>
    <w:p w14:paraId="0398DAC8" w14:textId="77777777" w:rsidR="001D31A6" w:rsidRPr="001D31A6" w:rsidRDefault="001D31A6" w:rsidP="00EE26F9">
      <w:pPr>
        <w:keepNext/>
        <w:rPr>
          <w:rFonts w:eastAsia="Times New Roman"/>
          <w:b/>
          <w:sz w:val="24"/>
          <w:szCs w:val="24"/>
          <w:u w:val="single"/>
        </w:rPr>
      </w:pPr>
      <w:r w:rsidRPr="001D31A6">
        <w:rPr>
          <w:rFonts w:eastAsia="Times New Roman"/>
          <w:b/>
          <w:sz w:val="24"/>
          <w:szCs w:val="24"/>
          <w:u w:val="single"/>
        </w:rPr>
        <w:t>Failure of Conditions</w:t>
      </w:r>
    </w:p>
    <w:p w14:paraId="1A0DDA2A" w14:textId="5EA2C165" w:rsidR="001D31A6" w:rsidRPr="001D31A6" w:rsidRDefault="001D31A6" w:rsidP="001D31A6">
      <w:pPr>
        <w:spacing w:after="240"/>
        <w:ind w:firstLine="720"/>
        <w:rPr>
          <w:rFonts w:eastAsia="Times New Roman"/>
          <w:sz w:val="24"/>
          <w:szCs w:val="24"/>
        </w:rPr>
      </w:pPr>
      <w:r w:rsidRPr="001D31A6">
        <w:rPr>
          <w:rFonts w:eastAsia="Times New Roman"/>
          <w:sz w:val="24"/>
          <w:szCs w:val="24"/>
        </w:rPr>
        <w:t>1</w:t>
      </w:r>
      <w:r w:rsidR="00A85E65">
        <w:rPr>
          <w:rFonts w:eastAsia="Times New Roman"/>
          <w:sz w:val="24"/>
          <w:szCs w:val="24"/>
        </w:rPr>
        <w:t>9</w:t>
      </w:r>
      <w:r w:rsidRPr="001D31A6">
        <w:rPr>
          <w:rFonts w:eastAsia="Times New Roman"/>
          <w:sz w:val="24"/>
          <w:szCs w:val="24"/>
        </w:rPr>
        <w:t xml:space="preserve">. An insured’s failure to provide a liability insurer with notice of a claim before settlement with a third party will forfeit coverage based on a presumption of prejudice to the insurer unless the insured rebuts the presumption and the insurer is unable to prove actual prejudice to its interests from lack of notice. </w:t>
      </w:r>
      <w:r w:rsidRPr="001D31A6">
        <w:rPr>
          <w:rFonts w:eastAsia="Times New Roman"/>
          <w:b/>
          <w:sz w:val="24"/>
          <w:szCs w:val="24"/>
        </w:rPr>
        <w:t>Friedland v. Travelers Indem. Co.</w:t>
      </w:r>
      <w:r w:rsidRPr="001D31A6">
        <w:rPr>
          <w:rFonts w:eastAsia="Times New Roman"/>
          <w:sz w:val="24"/>
          <w:szCs w:val="24"/>
        </w:rPr>
        <w:t>, 105 P.3d 639 (Colo. 2005) (</w:t>
      </w:r>
      <w:r w:rsidRPr="00EE26F9">
        <w:rPr>
          <w:rFonts w:eastAsia="Times New Roman"/>
          <w:sz w:val="24"/>
          <w:szCs w:val="24"/>
        </w:rPr>
        <w:t>overruling</w:t>
      </w:r>
      <w:r w:rsidRPr="001D31A6">
        <w:rPr>
          <w:rFonts w:eastAsia="Times New Roman"/>
          <w:i/>
          <w:sz w:val="24"/>
          <w:szCs w:val="24"/>
        </w:rPr>
        <w:t xml:space="preserve"> </w:t>
      </w:r>
      <w:r w:rsidRPr="001D31A6">
        <w:rPr>
          <w:rFonts w:eastAsia="Times New Roman"/>
          <w:b/>
          <w:sz w:val="24"/>
          <w:szCs w:val="24"/>
        </w:rPr>
        <w:t>Marez v. Dairyland Ins. Co.</w:t>
      </w:r>
      <w:r w:rsidRPr="001D31A6">
        <w:rPr>
          <w:rFonts w:eastAsia="Times New Roman"/>
          <w:sz w:val="24"/>
          <w:szCs w:val="24"/>
        </w:rPr>
        <w:t>, 638 P.2d 286 (Colo. 1981) (holding that insured’s unexcused failures to provide liability insurer with timely notice of accident and to forward suit papers forfeited coverage without insurer’s need to show prejudice)).</w:t>
      </w:r>
    </w:p>
    <w:p w14:paraId="207736E1" w14:textId="10704E4A" w:rsidR="001D31A6" w:rsidRPr="001D31A6" w:rsidRDefault="00A85E65" w:rsidP="001D31A6">
      <w:pPr>
        <w:spacing w:after="240"/>
        <w:ind w:firstLine="720"/>
        <w:rPr>
          <w:rFonts w:eastAsia="Times New Roman"/>
          <w:sz w:val="24"/>
          <w:szCs w:val="24"/>
        </w:rPr>
      </w:pPr>
      <w:r>
        <w:rPr>
          <w:rFonts w:eastAsia="Times New Roman"/>
          <w:sz w:val="24"/>
          <w:szCs w:val="24"/>
        </w:rPr>
        <w:t>20</w:t>
      </w:r>
      <w:r w:rsidR="001D31A6" w:rsidRPr="001D31A6">
        <w:rPr>
          <w:rFonts w:eastAsia="Times New Roman"/>
          <w:sz w:val="24"/>
          <w:szCs w:val="24"/>
        </w:rPr>
        <w:t xml:space="preserve">. The supreme court held that an insured’s violation of a policy’s no-voluntary-payments clause by settling with a claimant without suit and without advance notice to or the consent of its liability insurer bars coverage. </w:t>
      </w:r>
      <w:r w:rsidR="001D31A6" w:rsidRPr="001D31A6">
        <w:rPr>
          <w:rFonts w:eastAsia="Times New Roman"/>
          <w:b/>
          <w:sz w:val="24"/>
          <w:szCs w:val="24"/>
        </w:rPr>
        <w:t>Travelers Prop. Cas. Co. of Am. v. Stresscon Corp.</w:t>
      </w:r>
      <w:r w:rsidR="001D31A6" w:rsidRPr="001D31A6">
        <w:rPr>
          <w:rFonts w:eastAsia="Times New Roman"/>
          <w:sz w:val="24"/>
          <w:szCs w:val="24"/>
        </w:rPr>
        <w:t xml:space="preserve">, 2016 CO 22M, ¶¶ 13-15, 370 P.3d 140. The court, refusing to apply the notice-prejudice rule, held that a no-voluntary-payments clause, like the notice provision in a claims-made policy, </w:t>
      </w:r>
      <w:r w:rsidR="001D31A6" w:rsidRPr="001D31A6">
        <w:rPr>
          <w:rFonts w:eastAsia="Times New Roman"/>
          <w:i/>
          <w:sz w:val="24"/>
          <w:szCs w:val="24"/>
        </w:rPr>
        <w:t xml:space="preserve">see </w:t>
      </w:r>
      <w:r w:rsidR="001D31A6" w:rsidRPr="001D31A6">
        <w:rPr>
          <w:rFonts w:eastAsia="Times New Roman"/>
          <w:b/>
          <w:sz w:val="24"/>
          <w:szCs w:val="24"/>
        </w:rPr>
        <w:t xml:space="preserve">Craft v. Philadelphia Indem. Ins. Co., </w:t>
      </w:r>
      <w:r w:rsidR="001D31A6" w:rsidRPr="001D31A6">
        <w:rPr>
          <w:rFonts w:eastAsia="Times New Roman"/>
          <w:sz w:val="24"/>
          <w:szCs w:val="24"/>
        </w:rPr>
        <w:t xml:space="preserve">2015 CO 11, 343 P.3d 951, is a fundamental term of the contract that defines the scope of the policy’s coverage, and monies voluntarily paid to avoid suit are outside the scope of that coverage. </w:t>
      </w:r>
      <w:r w:rsidR="001D31A6" w:rsidRPr="001D31A6">
        <w:rPr>
          <w:rFonts w:eastAsia="Times New Roman"/>
          <w:b/>
          <w:sz w:val="24"/>
          <w:szCs w:val="24"/>
        </w:rPr>
        <w:t>Stresscon</w:t>
      </w:r>
      <w:r w:rsidR="001D31A6" w:rsidRPr="001D31A6">
        <w:rPr>
          <w:rFonts w:eastAsia="Times New Roman"/>
          <w:sz w:val="24"/>
          <w:szCs w:val="24"/>
        </w:rPr>
        <w:t>, ¶ 12.</w:t>
      </w:r>
    </w:p>
    <w:p w14:paraId="1881235E" w14:textId="3E3A3BC5" w:rsidR="001D31A6" w:rsidRPr="001D31A6" w:rsidRDefault="00AB2B06" w:rsidP="001D31A6">
      <w:pPr>
        <w:spacing w:after="240"/>
        <w:ind w:firstLine="720"/>
        <w:rPr>
          <w:rFonts w:eastAsia="Times New Roman"/>
          <w:sz w:val="24"/>
          <w:szCs w:val="24"/>
        </w:rPr>
      </w:pPr>
      <w:r>
        <w:rPr>
          <w:rFonts w:eastAsia="Times New Roman"/>
          <w:sz w:val="24"/>
          <w:szCs w:val="24"/>
        </w:rPr>
        <w:t>2</w:t>
      </w:r>
      <w:r w:rsidR="00A85E65">
        <w:rPr>
          <w:rFonts w:eastAsia="Times New Roman"/>
          <w:sz w:val="24"/>
          <w:szCs w:val="24"/>
        </w:rPr>
        <w:t>1</w:t>
      </w:r>
      <w:r w:rsidR="001D31A6" w:rsidRPr="001D31A6">
        <w:rPr>
          <w:rFonts w:eastAsia="Times New Roman"/>
          <w:sz w:val="24"/>
          <w:szCs w:val="24"/>
        </w:rPr>
        <w:t xml:space="preserve">. The court of appeals applied the notice-prejudice rule to violation of an occurrence policy clause requiring notice of incidents within 60 days of their occurrence. </w:t>
      </w:r>
      <w:r w:rsidR="001D31A6" w:rsidRPr="001D31A6">
        <w:rPr>
          <w:rFonts w:eastAsia="Times New Roman"/>
          <w:b/>
          <w:sz w:val="24"/>
          <w:szCs w:val="24"/>
        </w:rPr>
        <w:t>MarkWest Energy Partners, L.P. v. Zurich Am. Ins. Co.</w:t>
      </w:r>
      <w:r w:rsidR="001D31A6" w:rsidRPr="001D31A6">
        <w:rPr>
          <w:rFonts w:eastAsia="Times New Roman"/>
          <w:sz w:val="24"/>
          <w:szCs w:val="24"/>
        </w:rPr>
        <w:t>, 2016 COA 110, ¶ 31</w:t>
      </w:r>
      <w:r w:rsidR="0000771A">
        <w:rPr>
          <w:rFonts w:eastAsia="Times New Roman"/>
          <w:sz w:val="24"/>
          <w:szCs w:val="24"/>
        </w:rPr>
        <w:t>, 411 P.3d 1080</w:t>
      </w:r>
      <w:r w:rsidR="001D31A6" w:rsidRPr="001D31A6">
        <w:rPr>
          <w:rFonts w:eastAsia="Times New Roman"/>
          <w:sz w:val="24"/>
          <w:szCs w:val="24"/>
        </w:rPr>
        <w:t xml:space="preserve">. In doing so, the court distinguished </w:t>
      </w:r>
      <w:r w:rsidR="001D31A6" w:rsidRPr="001D31A6">
        <w:rPr>
          <w:rFonts w:eastAsia="Times New Roman"/>
          <w:b/>
          <w:sz w:val="24"/>
          <w:szCs w:val="24"/>
        </w:rPr>
        <w:t>Stresscon</w:t>
      </w:r>
      <w:r w:rsidR="001D31A6" w:rsidRPr="001D31A6">
        <w:rPr>
          <w:rFonts w:eastAsia="Times New Roman"/>
          <w:sz w:val="24"/>
          <w:szCs w:val="24"/>
        </w:rPr>
        <w:t xml:space="preserve"> and </w:t>
      </w:r>
      <w:r w:rsidR="001D31A6" w:rsidRPr="001D31A6">
        <w:rPr>
          <w:rFonts w:eastAsia="Times New Roman"/>
          <w:b/>
          <w:sz w:val="24"/>
          <w:szCs w:val="24"/>
        </w:rPr>
        <w:t>Craft</w:t>
      </w:r>
      <w:r w:rsidR="001D31A6" w:rsidRPr="001D31A6">
        <w:rPr>
          <w:rFonts w:eastAsia="Times New Roman"/>
          <w:sz w:val="24"/>
          <w:szCs w:val="24"/>
        </w:rPr>
        <w:t xml:space="preserve"> as dealing with policy terms that defined the scope of coverage. </w:t>
      </w:r>
      <w:r w:rsidR="001D31A6" w:rsidRPr="001D31A6">
        <w:rPr>
          <w:rFonts w:eastAsia="Times New Roman"/>
          <w:b/>
          <w:sz w:val="24"/>
          <w:szCs w:val="24"/>
        </w:rPr>
        <w:t>MarkWest Energy Partners</w:t>
      </w:r>
      <w:r w:rsidR="001D31A6" w:rsidRPr="001D31A6">
        <w:rPr>
          <w:rFonts w:eastAsia="Times New Roman"/>
          <w:sz w:val="24"/>
          <w:szCs w:val="24"/>
        </w:rPr>
        <w:t xml:space="preserve">, ¶¶ 24-26. Even though the 60-day notice provision was phrased as a condition precedent to coverage, the court stated that the purpose of </w:t>
      </w:r>
      <w:r w:rsidR="001D31A6" w:rsidRPr="001D31A6">
        <w:rPr>
          <w:rFonts w:eastAsia="Times New Roman"/>
          <w:sz w:val="24"/>
          <w:szCs w:val="24"/>
        </w:rPr>
        <w:lastRenderedPageBreak/>
        <w:t xml:space="preserve">the notice provision — avoidance of prejudice — is lacking if the insurer is unable to show prejudice from a failure to give required notice. </w:t>
      </w:r>
      <w:r w:rsidR="001D31A6" w:rsidRPr="001D31A6">
        <w:rPr>
          <w:rFonts w:eastAsia="Times New Roman"/>
          <w:i/>
          <w:sz w:val="24"/>
          <w:szCs w:val="24"/>
        </w:rPr>
        <w:t>Id.</w:t>
      </w:r>
      <w:r w:rsidR="001D31A6" w:rsidRPr="001D31A6">
        <w:rPr>
          <w:rFonts w:eastAsia="Times New Roman"/>
          <w:sz w:val="24"/>
          <w:szCs w:val="24"/>
        </w:rPr>
        <w:t xml:space="preserve"> at ¶¶ 29-30.</w:t>
      </w:r>
    </w:p>
    <w:p w14:paraId="2D368785" w14:textId="3C5F626F" w:rsidR="00EE26F9" w:rsidRPr="00A30B0E" w:rsidRDefault="00B649E0" w:rsidP="00C235FD">
      <w:pPr>
        <w:spacing w:after="240"/>
        <w:ind w:firstLine="720"/>
        <w:rPr>
          <w:rFonts w:eastAsia="Times New Roman"/>
          <w:sz w:val="24"/>
          <w:szCs w:val="24"/>
        </w:rPr>
      </w:pPr>
      <w:r w:rsidRPr="00C235FD">
        <w:rPr>
          <w:rFonts w:eastAsia="Times New Roman"/>
          <w:sz w:val="24"/>
          <w:szCs w:val="24"/>
        </w:rPr>
        <w:t xml:space="preserve"> </w:t>
      </w:r>
    </w:p>
    <w:p w14:paraId="1FF9BFE7" w14:textId="77777777" w:rsidR="00EE26F9" w:rsidRDefault="00EE26F9" w:rsidP="002802F4">
      <w:r>
        <w:br w:type="page"/>
      </w:r>
    </w:p>
    <w:p w14:paraId="4B43B871" w14:textId="77777777" w:rsidR="00EE26F9" w:rsidRPr="009E3DA4" w:rsidRDefault="00EE26F9" w:rsidP="00EE26F9">
      <w:pPr>
        <w:spacing w:after="240"/>
        <w:ind w:left="720" w:hanging="720"/>
        <w:rPr>
          <w:rFonts w:eastAsia="Times New Roman"/>
          <w:b/>
          <w:sz w:val="24"/>
          <w:szCs w:val="24"/>
        </w:rPr>
      </w:pPr>
      <w:bookmarkStart w:id="1" w:name="a25_02"/>
      <w:bookmarkEnd w:id="1"/>
      <w:r w:rsidRPr="00EE26F9">
        <w:rPr>
          <w:rFonts w:eastAsia="Times New Roman"/>
          <w:b/>
          <w:sz w:val="24"/>
          <w:szCs w:val="24"/>
        </w:rPr>
        <w:lastRenderedPageBreak/>
        <w:t xml:space="preserve">25:2 </w:t>
      </w:r>
      <w:r w:rsidRPr="00EE26F9">
        <w:rPr>
          <w:rFonts w:eastAsia="Times New Roman"/>
          <w:b/>
          <w:sz w:val="24"/>
          <w:szCs w:val="24"/>
        </w:rPr>
        <w:tab/>
        <w:t>ELEMENTS OF LIABILITY — FIRST-PARTY COMMON-LAW CLAIMS</w:t>
      </w:r>
    </w:p>
    <w:p w14:paraId="00079162" w14:textId="1E91D9A3" w:rsidR="00EE26F9" w:rsidRPr="00EE26F9" w:rsidRDefault="00EE26F9" w:rsidP="00EE26F9">
      <w:pPr>
        <w:spacing w:after="240"/>
        <w:ind w:firstLine="720"/>
        <w:rPr>
          <w:rFonts w:eastAsia="Times New Roman"/>
          <w:b/>
          <w:sz w:val="24"/>
          <w:szCs w:val="24"/>
        </w:rPr>
      </w:pPr>
      <w:r w:rsidRPr="00EE26F9">
        <w:rPr>
          <w:rFonts w:eastAsia="Times New Roman"/>
          <w:b/>
          <w:sz w:val="24"/>
          <w:szCs w:val="24"/>
        </w:rPr>
        <w:t xml:space="preserve">For the plaintiff, </w:t>
      </w:r>
      <w:r w:rsidRPr="00EE26F9">
        <w:rPr>
          <w:rFonts w:eastAsia="Times New Roman"/>
          <w:i/>
          <w:sz w:val="24"/>
          <w:szCs w:val="24"/>
        </w:rPr>
        <w:t>(name)</w:t>
      </w:r>
      <w:r w:rsidRPr="00EE26F9">
        <w:rPr>
          <w:rFonts w:eastAsia="Times New Roman"/>
          <w:b/>
          <w:sz w:val="24"/>
          <w:szCs w:val="24"/>
        </w:rPr>
        <w:t xml:space="preserve">, to recover from the defendant, </w:t>
      </w:r>
      <w:r w:rsidRPr="00EE26F9">
        <w:rPr>
          <w:rFonts w:eastAsia="Times New Roman"/>
          <w:i/>
          <w:sz w:val="24"/>
          <w:szCs w:val="24"/>
        </w:rPr>
        <w:t>(name)</w:t>
      </w:r>
      <w:r w:rsidRPr="00EE26F9">
        <w:rPr>
          <w:rFonts w:eastAsia="Times New Roman"/>
          <w:b/>
          <w:sz w:val="24"/>
          <w:szCs w:val="24"/>
        </w:rPr>
        <w:t xml:space="preserve">, on </w:t>
      </w:r>
      <w:r w:rsidR="00371D9F" w:rsidRPr="00D8019D">
        <w:rPr>
          <w:rFonts w:eastAsia="Times New Roman"/>
          <w:bCs/>
          <w:i/>
          <w:iCs/>
          <w:sz w:val="24"/>
          <w:szCs w:val="24"/>
        </w:rPr>
        <w:t>(insert applicable pronoun)</w:t>
      </w:r>
      <w:r w:rsidRPr="00EE26F9">
        <w:rPr>
          <w:rFonts w:eastAsia="Times New Roman"/>
          <w:b/>
          <w:sz w:val="24"/>
          <w:szCs w:val="24"/>
        </w:rPr>
        <w:t xml:space="preserve"> claim of bad faith breach of insurance contract, you must find all the following have been proved by a preponderance of the evidence:</w:t>
      </w:r>
    </w:p>
    <w:p w14:paraId="3D611745" w14:textId="77777777" w:rsidR="00EE26F9" w:rsidRPr="00EE26F9" w:rsidRDefault="00EE26F9" w:rsidP="00EE26F9">
      <w:pPr>
        <w:spacing w:after="240"/>
        <w:ind w:firstLine="720"/>
        <w:rPr>
          <w:rFonts w:eastAsia="Times New Roman"/>
          <w:b/>
          <w:sz w:val="24"/>
          <w:szCs w:val="24"/>
        </w:rPr>
      </w:pPr>
      <w:r w:rsidRPr="00EE26F9">
        <w:rPr>
          <w:rFonts w:eastAsia="Times New Roman"/>
          <w:b/>
          <w:sz w:val="24"/>
          <w:szCs w:val="24"/>
        </w:rPr>
        <w:t>1. The plaintiff had (injuries) (damages) (losses);</w:t>
      </w:r>
    </w:p>
    <w:p w14:paraId="50C69486" w14:textId="77777777" w:rsidR="00EE26F9" w:rsidRPr="00EE26F9" w:rsidRDefault="00EE26F9" w:rsidP="00EE26F9">
      <w:pPr>
        <w:spacing w:after="240"/>
        <w:ind w:firstLine="720"/>
        <w:rPr>
          <w:rFonts w:eastAsia="Times New Roman"/>
          <w:b/>
          <w:sz w:val="24"/>
          <w:szCs w:val="24"/>
        </w:rPr>
      </w:pPr>
      <w:r w:rsidRPr="00EE26F9">
        <w:rPr>
          <w:rFonts w:eastAsia="Times New Roman"/>
          <w:b/>
          <w:sz w:val="24"/>
          <w:szCs w:val="24"/>
        </w:rPr>
        <w:t xml:space="preserve">2. The defendant acted unreasonably in </w:t>
      </w:r>
      <w:r w:rsidRPr="00EE26F9">
        <w:rPr>
          <w:rFonts w:eastAsia="Times New Roman"/>
          <w:i/>
          <w:sz w:val="24"/>
          <w:szCs w:val="24"/>
        </w:rPr>
        <w:t>(insert appropriate description, e.g., “denying payment of the plaintiff’s claim”)</w:t>
      </w:r>
      <w:r w:rsidRPr="00EE26F9">
        <w:rPr>
          <w:rFonts w:eastAsia="Times New Roman"/>
          <w:b/>
          <w:sz w:val="24"/>
          <w:szCs w:val="24"/>
        </w:rPr>
        <w:t>;</w:t>
      </w:r>
    </w:p>
    <w:p w14:paraId="6D3CB3B7" w14:textId="4AFF60BD" w:rsidR="00EE26F9" w:rsidRPr="00EE26F9" w:rsidRDefault="00EE26F9" w:rsidP="00EE26F9">
      <w:pPr>
        <w:spacing w:after="240"/>
        <w:ind w:firstLine="720"/>
        <w:rPr>
          <w:rFonts w:eastAsia="Times New Roman"/>
          <w:b/>
          <w:sz w:val="24"/>
          <w:szCs w:val="24"/>
        </w:rPr>
      </w:pPr>
      <w:r w:rsidRPr="00EE26F9">
        <w:rPr>
          <w:rFonts w:eastAsia="Times New Roman"/>
          <w:b/>
          <w:sz w:val="24"/>
          <w:szCs w:val="24"/>
        </w:rPr>
        <w:t xml:space="preserve">3. The defendant knew that its (conduct) (position) was unreasonable or the defendant recklessly disregarded the fact that </w:t>
      </w:r>
      <w:r w:rsidR="00371D9F" w:rsidRPr="00D8019D">
        <w:rPr>
          <w:rFonts w:eastAsia="Times New Roman"/>
          <w:bCs/>
          <w:i/>
          <w:iCs/>
          <w:sz w:val="24"/>
          <w:szCs w:val="24"/>
        </w:rPr>
        <w:t>(insert applicable pronoun)</w:t>
      </w:r>
      <w:r w:rsidRPr="00EE26F9">
        <w:rPr>
          <w:rFonts w:eastAsia="Times New Roman"/>
          <w:b/>
          <w:sz w:val="24"/>
          <w:szCs w:val="24"/>
        </w:rPr>
        <w:t xml:space="preserve"> (conduct) (position) was unreasonable; and</w:t>
      </w:r>
    </w:p>
    <w:p w14:paraId="4CC767EB" w14:textId="77777777" w:rsidR="00EE26F9" w:rsidRPr="00EE26F9" w:rsidRDefault="00EE26F9" w:rsidP="00EE26F9">
      <w:pPr>
        <w:spacing w:after="240"/>
        <w:ind w:firstLine="720"/>
        <w:rPr>
          <w:rFonts w:eastAsia="Times New Roman"/>
          <w:b/>
          <w:sz w:val="24"/>
          <w:szCs w:val="24"/>
        </w:rPr>
      </w:pPr>
      <w:r w:rsidRPr="00EE26F9">
        <w:rPr>
          <w:rFonts w:eastAsia="Times New Roman"/>
          <w:b/>
          <w:sz w:val="24"/>
          <w:szCs w:val="24"/>
        </w:rPr>
        <w:t>4. The defendant’s unreasonable (conduct) (position) was a cause of the plaintiff’s (injuries) (damages) (losses).</w:t>
      </w:r>
    </w:p>
    <w:p w14:paraId="18EA86B4" w14:textId="77777777" w:rsidR="00EE26F9" w:rsidRPr="00EE26F9" w:rsidRDefault="00EE26F9" w:rsidP="00EE26F9">
      <w:pPr>
        <w:spacing w:after="240"/>
        <w:ind w:firstLine="720"/>
        <w:rPr>
          <w:rFonts w:eastAsia="Times New Roman"/>
          <w:b/>
          <w:sz w:val="24"/>
          <w:szCs w:val="24"/>
        </w:rPr>
      </w:pPr>
      <w:r w:rsidRPr="00EE26F9">
        <w:rPr>
          <w:rFonts w:eastAsia="Times New Roman"/>
          <w:b/>
          <w:sz w:val="24"/>
          <w:szCs w:val="24"/>
        </w:rPr>
        <w:t xml:space="preserve">If you find that any one or more of these </w:t>
      </w:r>
      <w:r w:rsidRPr="00EE26F9">
        <w:rPr>
          <w:rFonts w:eastAsia="Times New Roman"/>
          <w:i/>
          <w:sz w:val="24"/>
          <w:szCs w:val="24"/>
        </w:rPr>
        <w:t>(number)</w:t>
      </w:r>
      <w:r w:rsidRPr="00EE26F9">
        <w:rPr>
          <w:rFonts w:eastAsia="Times New Roman"/>
          <w:b/>
          <w:sz w:val="24"/>
          <w:szCs w:val="24"/>
        </w:rPr>
        <w:t xml:space="preserve"> statements has not been proved, then your verdict must be for the defendant.</w:t>
      </w:r>
    </w:p>
    <w:p w14:paraId="783E632E" w14:textId="77777777" w:rsidR="00EE26F9" w:rsidRPr="00EE26F9" w:rsidRDefault="00EE26F9" w:rsidP="00EE26F9">
      <w:pPr>
        <w:spacing w:after="240"/>
        <w:ind w:firstLine="720"/>
        <w:rPr>
          <w:rFonts w:eastAsia="Times New Roman"/>
          <w:b/>
          <w:sz w:val="24"/>
          <w:szCs w:val="24"/>
        </w:rPr>
      </w:pPr>
      <w:r w:rsidRPr="00EE26F9">
        <w:rPr>
          <w:rFonts w:eastAsia="Times New Roman"/>
          <w:b/>
          <w:sz w:val="24"/>
          <w:szCs w:val="24"/>
        </w:rPr>
        <w:t xml:space="preserve">On the other hand, if you find that all of these </w:t>
      </w:r>
      <w:r w:rsidRPr="00EE26F9">
        <w:rPr>
          <w:rFonts w:eastAsia="Times New Roman"/>
          <w:i/>
          <w:sz w:val="24"/>
          <w:szCs w:val="24"/>
        </w:rPr>
        <w:t>(number)</w:t>
      </w:r>
      <w:r w:rsidRPr="00EE26F9">
        <w:rPr>
          <w:rFonts w:eastAsia="Times New Roman"/>
          <w:b/>
          <w:sz w:val="24"/>
          <w:szCs w:val="24"/>
        </w:rPr>
        <w:t xml:space="preserve"> statements have been proved, (then your verdict must be for the plaintiff) (then you must consider the defendant’s affirmative defense(s) of </w:t>
      </w:r>
      <w:r w:rsidRPr="00EE26F9">
        <w:rPr>
          <w:rFonts w:eastAsia="Times New Roman"/>
          <w:i/>
          <w:sz w:val="24"/>
          <w:szCs w:val="24"/>
        </w:rPr>
        <w:t>[insert any affirmative defense that would be a complete defense to plaintiff’s claim]</w:t>
      </w:r>
      <w:r w:rsidRPr="00EE26F9">
        <w:rPr>
          <w:rFonts w:eastAsia="Times New Roman"/>
          <w:b/>
          <w:sz w:val="24"/>
          <w:szCs w:val="24"/>
        </w:rPr>
        <w:t>).</w:t>
      </w:r>
    </w:p>
    <w:p w14:paraId="0C6FD9F8" w14:textId="77777777" w:rsidR="00EE26F9" w:rsidRPr="00EE26F9" w:rsidRDefault="00EE26F9" w:rsidP="00EE26F9">
      <w:pPr>
        <w:spacing w:after="240"/>
        <w:ind w:firstLine="720"/>
        <w:rPr>
          <w:rFonts w:eastAsia="Times New Roman"/>
          <w:b/>
          <w:sz w:val="24"/>
          <w:szCs w:val="24"/>
        </w:rPr>
      </w:pPr>
      <w:r w:rsidRPr="00EE26F9">
        <w:rPr>
          <w:rFonts w:eastAsia="Times New Roman"/>
          <w:b/>
          <w:sz w:val="24"/>
          <w:szCs w:val="24"/>
        </w:rPr>
        <w:t>If you find that (this affirmative defense has) (any one or more of these affirmative defenses have) been proved by a preponderance of the evidence, then your verdict must be for the defendant.</w:t>
      </w:r>
    </w:p>
    <w:p w14:paraId="3A09B51E" w14:textId="77777777" w:rsidR="00EE26F9" w:rsidRPr="00EE26F9" w:rsidRDefault="00EE26F9" w:rsidP="00EE26F9">
      <w:pPr>
        <w:spacing w:after="240"/>
        <w:ind w:firstLine="720"/>
        <w:rPr>
          <w:rFonts w:eastAsia="Times New Roman"/>
          <w:b/>
          <w:sz w:val="24"/>
          <w:szCs w:val="24"/>
        </w:rPr>
      </w:pPr>
      <w:r w:rsidRPr="00EE26F9">
        <w:rPr>
          <w:rFonts w:eastAsia="Times New Roman"/>
          <w:b/>
          <w:sz w:val="24"/>
          <w:szCs w:val="24"/>
        </w:rPr>
        <w:t>However, if you find that (this affirmative defense has not) (none of these affirmative defenses have) been proved, then your verdict must be for the plaintiff.</w:t>
      </w:r>
    </w:p>
    <w:p w14:paraId="21761851" w14:textId="77777777" w:rsidR="00EE26F9" w:rsidRDefault="00EE26F9" w:rsidP="00EE26F9">
      <w:pPr>
        <w:jc w:val="center"/>
        <w:rPr>
          <w:rFonts w:eastAsia="Times New Roman"/>
          <w:sz w:val="24"/>
          <w:szCs w:val="24"/>
        </w:rPr>
      </w:pPr>
    </w:p>
    <w:p w14:paraId="4A8F9BCA" w14:textId="77777777" w:rsidR="00EE26F9" w:rsidRPr="0054263B" w:rsidRDefault="00EE26F9" w:rsidP="00EE26F9">
      <w:pPr>
        <w:keepNext/>
        <w:spacing w:after="240"/>
        <w:jc w:val="center"/>
        <w:rPr>
          <w:rFonts w:eastAsia="Times New Roman"/>
          <w:b/>
          <w:sz w:val="24"/>
          <w:szCs w:val="24"/>
        </w:rPr>
      </w:pPr>
      <w:r w:rsidRPr="0054263B">
        <w:rPr>
          <w:rFonts w:eastAsia="Times New Roman"/>
          <w:b/>
          <w:sz w:val="24"/>
          <w:szCs w:val="24"/>
        </w:rPr>
        <w:t>Notes on Use</w:t>
      </w:r>
    </w:p>
    <w:p w14:paraId="02586F5A" w14:textId="77777777" w:rsidR="00EE26F9" w:rsidRPr="00EE26F9" w:rsidRDefault="00EE26F9" w:rsidP="00EE26F9">
      <w:pPr>
        <w:spacing w:after="240"/>
        <w:ind w:firstLine="720"/>
        <w:rPr>
          <w:rFonts w:eastAsia="Times New Roman"/>
          <w:sz w:val="24"/>
          <w:szCs w:val="24"/>
        </w:rPr>
      </w:pPr>
      <w:r w:rsidRPr="00EE26F9">
        <w:rPr>
          <w:rFonts w:eastAsia="Times New Roman"/>
          <w:sz w:val="24"/>
          <w:szCs w:val="24"/>
        </w:rPr>
        <w:t xml:space="preserve">1. This instruction should be used for common-law first-party claims when an insured brings a direct action for policy benefits against the insurer. </w:t>
      </w:r>
      <w:r w:rsidRPr="00EE26F9">
        <w:rPr>
          <w:rFonts w:eastAsia="Times New Roman"/>
          <w:b/>
          <w:sz w:val="24"/>
          <w:szCs w:val="24"/>
        </w:rPr>
        <w:t>Travelers Ins. Co. v. Savio</w:t>
      </w:r>
      <w:r w:rsidRPr="00EE26F9">
        <w:rPr>
          <w:rFonts w:eastAsia="Times New Roman"/>
          <w:sz w:val="24"/>
          <w:szCs w:val="24"/>
        </w:rPr>
        <w:t xml:space="preserve">, 706 P.2d 1258 (Colo. 1985); </w:t>
      </w:r>
      <w:r w:rsidRPr="00EE26F9">
        <w:rPr>
          <w:rFonts w:eastAsia="Times New Roman"/>
          <w:i/>
          <w:sz w:val="24"/>
          <w:szCs w:val="24"/>
        </w:rPr>
        <w:t>see also</w:t>
      </w:r>
      <w:r w:rsidRPr="00EE26F9">
        <w:rPr>
          <w:rFonts w:eastAsia="Times New Roman"/>
          <w:sz w:val="24"/>
          <w:szCs w:val="24"/>
        </w:rPr>
        <w:t xml:space="preserve"> </w:t>
      </w:r>
      <w:r w:rsidRPr="00EE26F9">
        <w:rPr>
          <w:rFonts w:eastAsia="Times New Roman"/>
          <w:b/>
          <w:sz w:val="24"/>
          <w:szCs w:val="24"/>
        </w:rPr>
        <w:t>Goodson v. Am. Standard Ins. Co.</w:t>
      </w:r>
      <w:r w:rsidRPr="00EE26F9">
        <w:rPr>
          <w:rFonts w:eastAsia="Times New Roman"/>
          <w:sz w:val="24"/>
          <w:szCs w:val="24"/>
        </w:rPr>
        <w:t xml:space="preserve">, 89 P.3d 409, 414 (Colo. 2004) (“First-party bad faith cases involve an insurance company refusing to make or delaying payments owed directly to its insured under a first-party policy such as life, health, disability, property, fire, or no-fault auto insurance.”). </w:t>
      </w:r>
    </w:p>
    <w:p w14:paraId="15B47071" w14:textId="77777777" w:rsidR="00EE26F9" w:rsidRPr="00EE26F9" w:rsidRDefault="00EE26F9" w:rsidP="00EE26F9">
      <w:pPr>
        <w:spacing w:after="240"/>
        <w:ind w:firstLine="720"/>
        <w:rPr>
          <w:rFonts w:eastAsia="Times New Roman"/>
          <w:sz w:val="24"/>
          <w:szCs w:val="24"/>
        </w:rPr>
      </w:pPr>
      <w:r w:rsidRPr="00EE26F9">
        <w:rPr>
          <w:rFonts w:eastAsia="Times New Roman"/>
          <w:sz w:val="24"/>
          <w:szCs w:val="24"/>
        </w:rPr>
        <w:t xml:space="preserve">2. Appropriate instructions defining the terms used in this instruction must also be given. </w:t>
      </w:r>
      <w:r w:rsidRPr="00EE26F9">
        <w:rPr>
          <w:rFonts w:eastAsia="Times New Roman"/>
          <w:b/>
          <w:sz w:val="24"/>
          <w:szCs w:val="24"/>
        </w:rPr>
        <w:t>Miller v. Byrne</w:t>
      </w:r>
      <w:r w:rsidRPr="00EE26F9">
        <w:rPr>
          <w:rFonts w:eastAsia="Times New Roman"/>
          <w:sz w:val="24"/>
          <w:szCs w:val="24"/>
        </w:rPr>
        <w:t xml:space="preserve">, 916 P.2d 566 (Colo. App. 1995) (failure to define standard of care in terms of reasonableness was reversible error); </w:t>
      </w:r>
      <w:r w:rsidRPr="00EE26F9">
        <w:rPr>
          <w:rFonts w:eastAsia="Times New Roman"/>
          <w:i/>
          <w:sz w:val="24"/>
          <w:szCs w:val="24"/>
        </w:rPr>
        <w:t>see</w:t>
      </w:r>
      <w:r w:rsidRPr="00EE26F9">
        <w:rPr>
          <w:rFonts w:eastAsia="Times New Roman"/>
          <w:sz w:val="24"/>
          <w:szCs w:val="24"/>
        </w:rPr>
        <w:t xml:space="preserve"> Instruction 25:3 (defining “unreasonable conduct” and “unreasonable position”); Instruction 25:7 (defining “reckless disregard”); </w:t>
      </w:r>
      <w:r w:rsidRPr="006A47FD">
        <w:rPr>
          <w:rFonts w:eastAsia="Times New Roman"/>
          <w:i/>
          <w:sz w:val="24"/>
          <w:szCs w:val="24"/>
        </w:rPr>
        <w:t>see also</w:t>
      </w:r>
      <w:r w:rsidRPr="00EE26F9">
        <w:rPr>
          <w:rFonts w:eastAsia="Times New Roman"/>
          <w:sz w:val="24"/>
          <w:szCs w:val="24"/>
        </w:rPr>
        <w:t xml:space="preserve"> Instructions 9:18 – 9:21 (relating to causation). Instruction 25:6 may also be given with this instruction.</w:t>
      </w:r>
    </w:p>
    <w:p w14:paraId="464A60FD" w14:textId="77777777" w:rsidR="00EE26F9" w:rsidRPr="00EE26F9" w:rsidRDefault="00EE26F9" w:rsidP="00EE26F9">
      <w:pPr>
        <w:spacing w:after="240"/>
        <w:ind w:firstLine="720"/>
        <w:rPr>
          <w:rFonts w:eastAsia="Times New Roman"/>
          <w:sz w:val="24"/>
          <w:szCs w:val="24"/>
        </w:rPr>
      </w:pPr>
      <w:r w:rsidRPr="00EE26F9">
        <w:rPr>
          <w:rFonts w:eastAsia="Times New Roman"/>
          <w:sz w:val="24"/>
          <w:szCs w:val="24"/>
        </w:rPr>
        <w:lastRenderedPageBreak/>
        <w:t xml:space="preserve">3. In first-party, common-law claims, in contrast to third-party claims covered under Instruction 25:1, the insurer must not only have acted unreasonably, but must also have known or have recklessly disregarded the fact that its conduct was unreasonable. </w:t>
      </w:r>
      <w:r w:rsidRPr="00EE26F9">
        <w:rPr>
          <w:rFonts w:eastAsia="Times New Roman"/>
          <w:i/>
          <w:sz w:val="24"/>
          <w:szCs w:val="24"/>
        </w:rPr>
        <w:t>See</w:t>
      </w:r>
      <w:r w:rsidRPr="00EE26F9">
        <w:rPr>
          <w:rFonts w:eastAsia="Times New Roman"/>
          <w:sz w:val="24"/>
          <w:szCs w:val="24"/>
        </w:rPr>
        <w:t xml:space="preserve"> </w:t>
      </w:r>
      <w:r w:rsidRPr="00EE26F9">
        <w:rPr>
          <w:rFonts w:eastAsia="Times New Roman"/>
          <w:b/>
          <w:sz w:val="24"/>
          <w:szCs w:val="24"/>
        </w:rPr>
        <w:t>Am. Family Mut. Ins. Co. v. Allen</w:t>
      </w:r>
      <w:r w:rsidRPr="00EE26F9">
        <w:rPr>
          <w:rFonts w:eastAsia="Times New Roman"/>
          <w:sz w:val="24"/>
          <w:szCs w:val="24"/>
        </w:rPr>
        <w:t xml:space="preserve">, 102 P.3d 333 (Colo. 2004). </w:t>
      </w:r>
    </w:p>
    <w:p w14:paraId="2E77B4C2" w14:textId="77777777" w:rsidR="00EE26F9" w:rsidRPr="00EE26F9" w:rsidRDefault="00EE26F9" w:rsidP="00EE26F9">
      <w:pPr>
        <w:spacing w:after="240"/>
        <w:ind w:firstLine="720"/>
        <w:rPr>
          <w:rFonts w:eastAsia="Times New Roman"/>
          <w:sz w:val="24"/>
          <w:szCs w:val="24"/>
        </w:rPr>
      </w:pPr>
      <w:r w:rsidRPr="00EE26F9">
        <w:rPr>
          <w:rFonts w:eastAsia="Times New Roman"/>
          <w:sz w:val="24"/>
          <w:szCs w:val="24"/>
        </w:rPr>
        <w:t xml:space="preserve">4. Certain first-party claimants may also seek statutory remedies pursuant to sections 10-3-1115 and 10-3-1116, C.R.S., which have a lesser burden of proof, requiring that the insurer’s denial of or delay in paying an insurance claim was unreasonable (“without a reasonable basis”). </w:t>
      </w:r>
      <w:r w:rsidRPr="006A47FD">
        <w:rPr>
          <w:rFonts w:eastAsia="Times New Roman"/>
          <w:i/>
          <w:sz w:val="24"/>
          <w:szCs w:val="24"/>
        </w:rPr>
        <w:t>See</w:t>
      </w:r>
      <w:r w:rsidRPr="00EE26F9">
        <w:rPr>
          <w:rFonts w:eastAsia="Times New Roman"/>
          <w:sz w:val="24"/>
          <w:szCs w:val="24"/>
        </w:rPr>
        <w:t xml:space="preserve"> Instruction 25:4 and its Notes on Use.</w:t>
      </w:r>
    </w:p>
    <w:p w14:paraId="415E5111" w14:textId="77777777" w:rsidR="00EE26F9" w:rsidRPr="00EE26F9" w:rsidRDefault="00EE26F9" w:rsidP="00EE26F9">
      <w:pPr>
        <w:spacing w:after="240"/>
        <w:ind w:firstLine="720"/>
        <w:rPr>
          <w:rFonts w:eastAsia="Times New Roman"/>
          <w:sz w:val="24"/>
          <w:szCs w:val="24"/>
        </w:rPr>
      </w:pPr>
      <w:r w:rsidRPr="00EE26F9">
        <w:rPr>
          <w:rFonts w:eastAsia="Times New Roman"/>
          <w:sz w:val="24"/>
          <w:szCs w:val="24"/>
        </w:rPr>
        <w:t xml:space="preserve">5. This instruction, appropriately modified, is also applicable to a claim by an obligee against its surety for a bad faith breach of a surety contract. </w:t>
      </w:r>
      <w:r w:rsidRPr="00EE26F9">
        <w:rPr>
          <w:rFonts w:eastAsia="Times New Roman"/>
          <w:b/>
          <w:sz w:val="24"/>
          <w:szCs w:val="24"/>
        </w:rPr>
        <w:t>Transamerica Premier Ins. Co. v. Brighton Sch. Dist.</w:t>
      </w:r>
      <w:r w:rsidRPr="00EE26F9">
        <w:rPr>
          <w:rFonts w:eastAsia="Times New Roman"/>
          <w:sz w:val="24"/>
          <w:szCs w:val="24"/>
        </w:rPr>
        <w:t xml:space="preserve"> </w:t>
      </w:r>
      <w:r w:rsidRPr="00EE26F9">
        <w:rPr>
          <w:rFonts w:eastAsia="Times New Roman"/>
          <w:b/>
          <w:sz w:val="24"/>
          <w:szCs w:val="24"/>
        </w:rPr>
        <w:t>27J</w:t>
      </w:r>
      <w:r w:rsidRPr="00EE26F9">
        <w:rPr>
          <w:rFonts w:eastAsia="Times New Roman"/>
          <w:sz w:val="24"/>
          <w:szCs w:val="24"/>
        </w:rPr>
        <w:t xml:space="preserve">, 940 P.2d 348 (Colo. 1997); </w:t>
      </w:r>
      <w:r w:rsidRPr="00EE26F9">
        <w:rPr>
          <w:rFonts w:eastAsia="Times New Roman"/>
          <w:b/>
          <w:sz w:val="24"/>
          <w:szCs w:val="24"/>
        </w:rPr>
        <w:t>City of Westminster v. Centric-Jones Constructors</w:t>
      </w:r>
      <w:r w:rsidRPr="00EE26F9">
        <w:rPr>
          <w:rFonts w:eastAsia="Times New Roman"/>
          <w:sz w:val="24"/>
          <w:szCs w:val="24"/>
        </w:rPr>
        <w:t>,</w:t>
      </w:r>
      <w:r w:rsidRPr="00EE26F9">
        <w:rPr>
          <w:rFonts w:eastAsia="Times New Roman"/>
          <w:b/>
          <w:sz w:val="24"/>
          <w:szCs w:val="24"/>
        </w:rPr>
        <w:t xml:space="preserve"> </w:t>
      </w:r>
      <w:r w:rsidRPr="00EE26F9">
        <w:rPr>
          <w:rFonts w:eastAsia="Times New Roman"/>
          <w:sz w:val="24"/>
          <w:szCs w:val="24"/>
        </w:rPr>
        <w:t xml:space="preserve">100 P.3d 472 (Colo. App. 2003). </w:t>
      </w:r>
    </w:p>
    <w:p w14:paraId="5A58C3CE" w14:textId="77777777" w:rsidR="00EE26F9" w:rsidRPr="00EE26F9" w:rsidRDefault="00EE26F9" w:rsidP="00EE26F9">
      <w:pPr>
        <w:spacing w:after="240"/>
        <w:ind w:firstLine="720"/>
        <w:rPr>
          <w:rFonts w:eastAsia="Times New Roman"/>
          <w:sz w:val="24"/>
          <w:szCs w:val="24"/>
        </w:rPr>
      </w:pPr>
      <w:r w:rsidRPr="00EE26F9">
        <w:rPr>
          <w:rFonts w:eastAsia="Times New Roman"/>
          <w:sz w:val="24"/>
          <w:szCs w:val="24"/>
        </w:rPr>
        <w:t>6. In cases involving multiple defendants or designated nonparties where the pro rata liability statute, § 13-21-111.5, C.R.S., is applicable, see the Notes on Use to Instruction 4:20 (model unified verdict form).</w:t>
      </w:r>
    </w:p>
    <w:p w14:paraId="1A5C8C61" w14:textId="77777777" w:rsidR="00EE26F9" w:rsidRPr="0054263B" w:rsidRDefault="00EE26F9" w:rsidP="00EE26F9">
      <w:pPr>
        <w:keepNext/>
        <w:spacing w:after="240"/>
        <w:jc w:val="center"/>
        <w:rPr>
          <w:rFonts w:eastAsia="Times New Roman"/>
          <w:b/>
          <w:sz w:val="24"/>
          <w:szCs w:val="24"/>
        </w:rPr>
      </w:pPr>
      <w:r>
        <w:rPr>
          <w:rFonts w:eastAsia="Times New Roman"/>
          <w:b/>
          <w:sz w:val="24"/>
          <w:szCs w:val="24"/>
        </w:rPr>
        <w:t>Source and Authority</w:t>
      </w:r>
    </w:p>
    <w:p w14:paraId="6B823735" w14:textId="77777777" w:rsidR="006A47FD" w:rsidRPr="006A47FD" w:rsidRDefault="006A47FD" w:rsidP="006A47FD">
      <w:pPr>
        <w:spacing w:after="240"/>
        <w:ind w:firstLine="720"/>
        <w:rPr>
          <w:rFonts w:eastAsia="Times New Roman"/>
          <w:sz w:val="24"/>
          <w:szCs w:val="24"/>
        </w:rPr>
      </w:pPr>
      <w:r w:rsidRPr="006A47FD">
        <w:rPr>
          <w:rFonts w:eastAsia="Times New Roman"/>
          <w:sz w:val="24"/>
          <w:szCs w:val="24"/>
        </w:rPr>
        <w:t xml:space="preserve">1. This instruction is supported by </w:t>
      </w:r>
      <w:r w:rsidRPr="006A47FD">
        <w:rPr>
          <w:rFonts w:eastAsia="Times New Roman"/>
          <w:b/>
          <w:sz w:val="24"/>
          <w:szCs w:val="24"/>
        </w:rPr>
        <w:t>Savio</w:t>
      </w:r>
      <w:r w:rsidRPr="006A47FD">
        <w:rPr>
          <w:rFonts w:eastAsia="Times New Roman"/>
          <w:sz w:val="24"/>
          <w:szCs w:val="24"/>
        </w:rPr>
        <w:t xml:space="preserve">, 706 P.2d at 1274-75, and section 10-3-1113(3), C.R.S. </w:t>
      </w:r>
      <w:r w:rsidRPr="006A47FD">
        <w:rPr>
          <w:rFonts w:eastAsia="Times New Roman"/>
          <w:i/>
          <w:sz w:val="24"/>
          <w:szCs w:val="24"/>
        </w:rPr>
        <w:t>See also</w:t>
      </w:r>
      <w:r w:rsidRPr="006A47FD">
        <w:rPr>
          <w:rFonts w:eastAsia="Times New Roman"/>
          <w:sz w:val="24"/>
          <w:szCs w:val="24"/>
        </w:rPr>
        <w:t xml:space="preserve"> </w:t>
      </w:r>
      <w:r w:rsidRPr="006A47FD">
        <w:rPr>
          <w:rFonts w:eastAsia="Times New Roman"/>
          <w:b/>
          <w:sz w:val="24"/>
          <w:szCs w:val="24"/>
        </w:rPr>
        <w:t>Brodeur v. Am. Home Assur. Co.</w:t>
      </w:r>
      <w:r w:rsidRPr="006A47FD">
        <w:rPr>
          <w:rFonts w:eastAsia="Times New Roman"/>
          <w:sz w:val="24"/>
          <w:szCs w:val="24"/>
        </w:rPr>
        <w:t>,</w:t>
      </w:r>
      <w:r w:rsidRPr="006A47FD">
        <w:rPr>
          <w:rFonts w:eastAsia="Times New Roman"/>
          <w:b/>
          <w:sz w:val="24"/>
          <w:szCs w:val="24"/>
        </w:rPr>
        <w:t xml:space="preserve"> </w:t>
      </w:r>
      <w:r w:rsidRPr="006A47FD">
        <w:rPr>
          <w:rFonts w:eastAsia="Times New Roman"/>
          <w:sz w:val="24"/>
          <w:szCs w:val="24"/>
        </w:rPr>
        <w:t xml:space="preserve">169 P.3d 139 (Colo. 2007); </w:t>
      </w:r>
      <w:r w:rsidRPr="006A47FD">
        <w:rPr>
          <w:rFonts w:eastAsia="Times New Roman"/>
          <w:b/>
          <w:sz w:val="24"/>
          <w:szCs w:val="24"/>
        </w:rPr>
        <w:t>Pham v. State Farm Mut. Auto. Ins. Co.</w:t>
      </w:r>
      <w:r w:rsidRPr="006A47FD">
        <w:rPr>
          <w:rFonts w:eastAsia="Times New Roman"/>
          <w:sz w:val="24"/>
          <w:szCs w:val="24"/>
        </w:rPr>
        <w:t xml:space="preserve">, 70 P.3d 567 (Colo. App. 2003); </w:t>
      </w:r>
      <w:r w:rsidRPr="006A47FD">
        <w:rPr>
          <w:rFonts w:eastAsia="Times New Roman"/>
          <w:b/>
          <w:sz w:val="24"/>
          <w:szCs w:val="24"/>
        </w:rPr>
        <w:t>Hyden v. Farmers Ins. Exch.</w:t>
      </w:r>
      <w:r w:rsidRPr="006A47FD">
        <w:rPr>
          <w:rFonts w:eastAsia="Times New Roman"/>
          <w:sz w:val="24"/>
          <w:szCs w:val="24"/>
        </w:rPr>
        <w:t xml:space="preserve">, 20 P.3d 1222 (Colo. App. 2000); </w:t>
      </w:r>
      <w:r w:rsidRPr="006A47FD">
        <w:rPr>
          <w:rFonts w:eastAsia="Times New Roman"/>
          <w:b/>
          <w:sz w:val="24"/>
          <w:szCs w:val="24"/>
        </w:rPr>
        <w:t>Novell v. Am. Guar. &amp; Liab. Ins. Co.</w:t>
      </w:r>
      <w:r w:rsidRPr="006A47FD">
        <w:rPr>
          <w:rFonts w:eastAsia="Times New Roman"/>
          <w:sz w:val="24"/>
          <w:szCs w:val="24"/>
        </w:rPr>
        <w:t xml:space="preserve">, 15 P.3d 775 (Colo. App. 1999); </w:t>
      </w:r>
      <w:r w:rsidRPr="006A47FD">
        <w:rPr>
          <w:rFonts w:eastAsia="Times New Roman"/>
          <w:b/>
          <w:sz w:val="24"/>
          <w:szCs w:val="24"/>
        </w:rPr>
        <w:t>Munoz v. State Farm Mut. Auto. Ins. Co.</w:t>
      </w:r>
      <w:r w:rsidRPr="006A47FD">
        <w:rPr>
          <w:rFonts w:eastAsia="Times New Roman"/>
          <w:sz w:val="24"/>
          <w:szCs w:val="24"/>
        </w:rPr>
        <w:t xml:space="preserve">, 968 P.2d 126 (Colo. App. 1998); </w:t>
      </w:r>
      <w:r w:rsidRPr="006A47FD">
        <w:rPr>
          <w:rFonts w:eastAsia="Times New Roman"/>
          <w:b/>
          <w:sz w:val="24"/>
          <w:szCs w:val="24"/>
        </w:rPr>
        <w:t>Herod v. Colo. Farm Bureau Mut. Ins. Co.</w:t>
      </w:r>
      <w:r w:rsidRPr="006A47FD">
        <w:rPr>
          <w:rFonts w:eastAsia="Times New Roman"/>
          <w:sz w:val="24"/>
          <w:szCs w:val="24"/>
        </w:rPr>
        <w:t xml:space="preserve">, 928 P.2d 834 (Colo. App. 1996); </w:t>
      </w:r>
      <w:r w:rsidRPr="006A47FD">
        <w:rPr>
          <w:rFonts w:eastAsia="Times New Roman"/>
          <w:b/>
          <w:sz w:val="24"/>
          <w:szCs w:val="24"/>
        </w:rPr>
        <w:t>South Park Aggregates, Inc. v. Nw. Nat’l Ins. Co.</w:t>
      </w:r>
      <w:r w:rsidRPr="006A47FD">
        <w:rPr>
          <w:rFonts w:eastAsia="Times New Roman"/>
          <w:sz w:val="24"/>
          <w:szCs w:val="24"/>
        </w:rPr>
        <w:t xml:space="preserve">, 847 P.2d 218 (Colo. App. 1992); </w:t>
      </w:r>
      <w:r w:rsidRPr="006A47FD">
        <w:rPr>
          <w:rFonts w:eastAsia="Times New Roman"/>
          <w:b/>
          <w:sz w:val="24"/>
          <w:szCs w:val="24"/>
        </w:rPr>
        <w:t>Burgess v. Mid-Century Ins. Co.</w:t>
      </w:r>
      <w:r w:rsidRPr="006A47FD">
        <w:rPr>
          <w:rFonts w:eastAsia="Times New Roman"/>
          <w:sz w:val="24"/>
          <w:szCs w:val="24"/>
        </w:rPr>
        <w:t>,</w:t>
      </w:r>
      <w:r w:rsidRPr="006A47FD">
        <w:rPr>
          <w:rFonts w:eastAsia="Times New Roman"/>
          <w:b/>
          <w:sz w:val="24"/>
          <w:szCs w:val="24"/>
        </w:rPr>
        <w:t xml:space="preserve"> </w:t>
      </w:r>
      <w:r w:rsidRPr="006A47FD">
        <w:rPr>
          <w:rFonts w:eastAsia="Times New Roman"/>
          <w:sz w:val="24"/>
          <w:szCs w:val="24"/>
        </w:rPr>
        <w:t xml:space="preserve">841 P.2d 325 (Colo. App. 1992); </w:t>
      </w:r>
      <w:r w:rsidRPr="006A47FD">
        <w:rPr>
          <w:rFonts w:eastAsia="Times New Roman"/>
          <w:b/>
          <w:sz w:val="24"/>
          <w:szCs w:val="24"/>
        </w:rPr>
        <w:t>Martin v. Principal Cas. Ins. Co.</w:t>
      </w:r>
      <w:r w:rsidRPr="006A47FD">
        <w:rPr>
          <w:rFonts w:eastAsia="Times New Roman"/>
          <w:sz w:val="24"/>
          <w:szCs w:val="24"/>
        </w:rPr>
        <w:t xml:space="preserve">, 835 P.2d 505 (Colo. App. 1991), </w:t>
      </w:r>
      <w:r w:rsidRPr="006A47FD">
        <w:rPr>
          <w:rFonts w:eastAsia="Times New Roman"/>
          <w:i/>
          <w:sz w:val="24"/>
          <w:szCs w:val="24"/>
        </w:rPr>
        <w:t>rev’d on other grounds sub nom.</w:t>
      </w:r>
      <w:r w:rsidRPr="006A47FD">
        <w:rPr>
          <w:rFonts w:eastAsia="Times New Roman"/>
          <w:sz w:val="24"/>
          <w:szCs w:val="24"/>
        </w:rPr>
        <w:t xml:space="preserve"> </w:t>
      </w:r>
      <w:r w:rsidRPr="006A47FD">
        <w:rPr>
          <w:rFonts w:eastAsia="Times New Roman"/>
          <w:b/>
          <w:sz w:val="24"/>
          <w:szCs w:val="24"/>
        </w:rPr>
        <w:t>Budget Rent-A-Car Corp. v. Martin</w:t>
      </w:r>
      <w:r w:rsidRPr="006A47FD">
        <w:rPr>
          <w:rFonts w:eastAsia="Times New Roman"/>
          <w:sz w:val="24"/>
          <w:szCs w:val="24"/>
        </w:rPr>
        <w:t xml:space="preserve">, 855 P.2d 1377 (Colo. 1993); </w:t>
      </w:r>
      <w:r w:rsidRPr="006A47FD">
        <w:rPr>
          <w:rFonts w:eastAsia="Times New Roman"/>
          <w:b/>
          <w:sz w:val="24"/>
          <w:szCs w:val="24"/>
        </w:rPr>
        <w:t>Pierce v. Capitol Life Ins. Co.</w:t>
      </w:r>
      <w:r w:rsidRPr="006A47FD">
        <w:rPr>
          <w:rFonts w:eastAsia="Times New Roman"/>
          <w:sz w:val="24"/>
          <w:szCs w:val="24"/>
        </w:rPr>
        <w:t xml:space="preserve">, 806 P.2d 388 (Colo. App. 1990); </w:t>
      </w:r>
      <w:r w:rsidRPr="006A47FD">
        <w:rPr>
          <w:rFonts w:eastAsia="Times New Roman"/>
          <w:b/>
          <w:sz w:val="24"/>
          <w:szCs w:val="24"/>
        </w:rPr>
        <w:t>Southerland v. Argonaut Ins. Co.</w:t>
      </w:r>
      <w:r w:rsidRPr="006A47FD">
        <w:rPr>
          <w:rFonts w:eastAsia="Times New Roman"/>
          <w:sz w:val="24"/>
          <w:szCs w:val="24"/>
        </w:rPr>
        <w:t xml:space="preserve">, 794 P.2d 1102 (Colo. App. 1990); </w:t>
      </w:r>
      <w:r w:rsidRPr="006A47FD">
        <w:rPr>
          <w:rFonts w:eastAsia="Times New Roman"/>
          <w:b/>
          <w:sz w:val="24"/>
          <w:szCs w:val="24"/>
        </w:rPr>
        <w:t>Bucholtz v. Safeco Ins. Co. of Am.</w:t>
      </w:r>
      <w:r w:rsidRPr="006A47FD">
        <w:rPr>
          <w:rFonts w:eastAsia="Times New Roman"/>
          <w:sz w:val="24"/>
          <w:szCs w:val="24"/>
        </w:rPr>
        <w:t xml:space="preserve">, 773 P.2d 590 (Colo. App. 1988); </w:t>
      </w:r>
      <w:r w:rsidRPr="006A47FD">
        <w:rPr>
          <w:rFonts w:eastAsia="Times New Roman"/>
          <w:b/>
          <w:sz w:val="24"/>
          <w:szCs w:val="24"/>
        </w:rPr>
        <w:t>Bolz v. Sec. Mut. Life Ins. Co.</w:t>
      </w:r>
      <w:r w:rsidRPr="006A47FD">
        <w:rPr>
          <w:rFonts w:eastAsia="Times New Roman"/>
          <w:sz w:val="24"/>
          <w:szCs w:val="24"/>
        </w:rPr>
        <w:t>, 721 P.2d 1216 (Colo. App. 1986).</w:t>
      </w:r>
    </w:p>
    <w:p w14:paraId="7D8CE183" w14:textId="77777777" w:rsidR="006A47FD" w:rsidRPr="006A47FD" w:rsidRDefault="006A47FD" w:rsidP="006A47FD">
      <w:pPr>
        <w:spacing w:after="240"/>
        <w:ind w:firstLine="720"/>
        <w:rPr>
          <w:rFonts w:eastAsia="Times New Roman"/>
          <w:sz w:val="24"/>
          <w:szCs w:val="24"/>
        </w:rPr>
      </w:pPr>
      <w:r w:rsidRPr="006A47FD">
        <w:rPr>
          <w:rFonts w:eastAsia="Times New Roman"/>
          <w:sz w:val="24"/>
          <w:szCs w:val="24"/>
        </w:rPr>
        <w:t>2. The 1991 amendment to section 8-43-304(1), C.R.S., did not abrogate the common-law tort of bad faith breach of insurance contract in the context of a workers’ compensation claim.</w:t>
      </w:r>
      <w:r w:rsidRPr="006A47FD">
        <w:rPr>
          <w:rFonts w:eastAsia="Times New Roman"/>
          <w:b/>
          <w:sz w:val="24"/>
          <w:szCs w:val="24"/>
        </w:rPr>
        <w:t xml:space="preserve"> Vaughan v. McMinn</w:t>
      </w:r>
      <w:r w:rsidRPr="006A47FD">
        <w:rPr>
          <w:rFonts w:eastAsia="Times New Roman"/>
          <w:sz w:val="24"/>
          <w:szCs w:val="24"/>
        </w:rPr>
        <w:t xml:space="preserve">, 945 P.2d 404 (Colo. 1997); </w:t>
      </w:r>
      <w:r w:rsidRPr="006A47FD">
        <w:rPr>
          <w:rFonts w:eastAsia="Times New Roman"/>
          <w:i/>
          <w:sz w:val="24"/>
          <w:szCs w:val="24"/>
        </w:rPr>
        <w:t xml:space="preserve">accord </w:t>
      </w:r>
      <w:r w:rsidRPr="006A47FD">
        <w:rPr>
          <w:rFonts w:eastAsia="Times New Roman"/>
          <w:b/>
          <w:sz w:val="24"/>
          <w:szCs w:val="24"/>
        </w:rPr>
        <w:t>Brodeur</w:t>
      </w:r>
      <w:r w:rsidRPr="006A47FD">
        <w:rPr>
          <w:rFonts w:eastAsia="Times New Roman"/>
          <w:sz w:val="24"/>
          <w:szCs w:val="24"/>
        </w:rPr>
        <w:t>, 169 P.3d at 147.</w:t>
      </w:r>
    </w:p>
    <w:p w14:paraId="20B46922" w14:textId="6879600B" w:rsidR="006A47FD" w:rsidRPr="006A47FD" w:rsidRDefault="006A47FD" w:rsidP="00043B25">
      <w:pPr>
        <w:shd w:val="clear" w:color="auto" w:fill="FFFFFF"/>
        <w:spacing w:after="240"/>
        <w:ind w:firstLine="720"/>
        <w:rPr>
          <w:rFonts w:eastAsia="Times New Roman"/>
          <w:sz w:val="24"/>
          <w:szCs w:val="24"/>
        </w:rPr>
      </w:pPr>
      <w:r w:rsidRPr="006A47FD">
        <w:rPr>
          <w:rFonts w:eastAsia="Times New Roman"/>
          <w:sz w:val="24"/>
          <w:szCs w:val="24"/>
        </w:rPr>
        <w:t xml:space="preserve">3. An insurer’s decision to deny benefits must be evaluated according to the information it had before it at the time of the denial. </w:t>
      </w:r>
      <w:r w:rsidR="00043B25" w:rsidRPr="00283A61">
        <w:rPr>
          <w:rFonts w:eastAsia="Times New Roman"/>
          <w:b/>
          <w:color w:val="000000"/>
          <w:sz w:val="24"/>
          <w:szCs w:val="24"/>
        </w:rPr>
        <w:t>Schultz v. GEICO Cas. Co.</w:t>
      </w:r>
      <w:r w:rsidR="00043B25" w:rsidRPr="00F1001E">
        <w:rPr>
          <w:rFonts w:eastAsia="Times New Roman"/>
          <w:color w:val="000000"/>
          <w:sz w:val="24"/>
          <w:szCs w:val="24"/>
        </w:rPr>
        <w:t>, 2018</w:t>
      </w:r>
      <w:r w:rsidR="00F1001E" w:rsidRPr="00F1001E">
        <w:rPr>
          <w:rFonts w:eastAsia="Times New Roman"/>
          <w:color w:val="000000"/>
          <w:sz w:val="24"/>
          <w:szCs w:val="24"/>
        </w:rPr>
        <w:t xml:space="preserve"> CO 87, ¶ 2</w:t>
      </w:r>
      <w:r w:rsidR="00F1001E">
        <w:rPr>
          <w:rFonts w:eastAsia="Times New Roman"/>
          <w:color w:val="000000"/>
          <w:sz w:val="24"/>
          <w:szCs w:val="24"/>
        </w:rPr>
        <w:t>8</w:t>
      </w:r>
      <w:r w:rsidR="00F1001E" w:rsidRPr="00F1001E">
        <w:rPr>
          <w:rFonts w:eastAsia="Times New Roman"/>
          <w:color w:val="000000"/>
          <w:sz w:val="24"/>
          <w:szCs w:val="24"/>
        </w:rPr>
        <w:t>, 429 P.3d 844, 84</w:t>
      </w:r>
      <w:r w:rsidR="00043B25" w:rsidRPr="00F1001E">
        <w:rPr>
          <w:rFonts w:eastAsia="Times New Roman"/>
          <w:color w:val="000000"/>
          <w:sz w:val="24"/>
          <w:szCs w:val="24"/>
        </w:rPr>
        <w:t>9</w:t>
      </w:r>
      <w:r w:rsidR="00043B25" w:rsidRPr="00F1001E">
        <w:rPr>
          <w:rFonts w:eastAsia="Times New Roman"/>
          <w:sz w:val="24"/>
          <w:szCs w:val="24"/>
        </w:rPr>
        <w:t xml:space="preserve"> (</w:t>
      </w:r>
      <w:r w:rsidR="00F1001E" w:rsidRPr="00F1001E">
        <w:rPr>
          <w:sz w:val="24"/>
          <w:szCs w:val="24"/>
        </w:rPr>
        <w:t xml:space="preserve">original proceeding striking the trial court’s order allowing a post-ligation C.R.C.P. 35 examination as an attempt “to create new evidence </w:t>
      </w:r>
      <w:r w:rsidR="00F1001E">
        <w:rPr>
          <w:sz w:val="24"/>
          <w:szCs w:val="24"/>
        </w:rPr>
        <w:t>to justify a previous benefits deci</w:t>
      </w:r>
      <w:r w:rsidR="00F1001E" w:rsidRPr="00F1001E">
        <w:rPr>
          <w:sz w:val="24"/>
          <w:szCs w:val="24"/>
        </w:rPr>
        <w:t>sion”</w:t>
      </w:r>
      <w:r w:rsidR="005D522C">
        <w:rPr>
          <w:sz w:val="24"/>
          <w:szCs w:val="24"/>
        </w:rPr>
        <w:t>);</w:t>
      </w:r>
      <w:r w:rsidR="00F1001E" w:rsidRPr="00F1001E">
        <w:rPr>
          <w:rFonts w:eastAsia="Times New Roman"/>
          <w:sz w:val="24"/>
          <w:szCs w:val="24"/>
        </w:rPr>
        <w:t xml:space="preserve"> </w:t>
      </w:r>
      <w:r w:rsidRPr="006A47FD">
        <w:rPr>
          <w:rFonts w:eastAsia="Times New Roman"/>
          <w:b/>
          <w:sz w:val="24"/>
          <w:szCs w:val="24"/>
        </w:rPr>
        <w:t>Peiffer v. State Farm Mut. Auto. Ins. Co.</w:t>
      </w:r>
      <w:r w:rsidRPr="006A47FD">
        <w:rPr>
          <w:rFonts w:eastAsia="Times New Roman"/>
          <w:sz w:val="24"/>
          <w:szCs w:val="24"/>
        </w:rPr>
        <w:t xml:space="preserve">, 940 P.2d 967 (Colo. App. 1996), </w:t>
      </w:r>
      <w:r w:rsidRPr="006A47FD">
        <w:rPr>
          <w:rFonts w:eastAsia="Times New Roman"/>
          <w:i/>
          <w:sz w:val="24"/>
          <w:szCs w:val="24"/>
        </w:rPr>
        <w:t>aff’d</w:t>
      </w:r>
      <w:r w:rsidRPr="006A47FD">
        <w:rPr>
          <w:rFonts w:eastAsia="Times New Roman"/>
          <w:sz w:val="24"/>
          <w:szCs w:val="24"/>
        </w:rPr>
        <w:t>,</w:t>
      </w:r>
      <w:r w:rsidRPr="006A47FD">
        <w:rPr>
          <w:rFonts w:eastAsia="Times New Roman"/>
          <w:i/>
          <w:sz w:val="24"/>
          <w:szCs w:val="24"/>
        </w:rPr>
        <w:t xml:space="preserve"> </w:t>
      </w:r>
      <w:r w:rsidRPr="006A47FD">
        <w:rPr>
          <w:rFonts w:eastAsia="Times New Roman"/>
          <w:sz w:val="24"/>
          <w:szCs w:val="24"/>
        </w:rPr>
        <w:t>955 P.2d 1008 (Colo. 1998).</w:t>
      </w:r>
    </w:p>
    <w:p w14:paraId="443211A5" w14:textId="00621B31" w:rsidR="006A47FD" w:rsidRPr="006A47FD" w:rsidRDefault="006A47FD" w:rsidP="006A47FD">
      <w:pPr>
        <w:spacing w:after="240"/>
        <w:ind w:firstLine="720"/>
        <w:rPr>
          <w:rFonts w:eastAsia="Times New Roman"/>
          <w:sz w:val="24"/>
          <w:szCs w:val="24"/>
        </w:rPr>
      </w:pPr>
      <w:r w:rsidRPr="006A47FD">
        <w:rPr>
          <w:rFonts w:eastAsia="Times New Roman"/>
          <w:sz w:val="24"/>
          <w:szCs w:val="24"/>
        </w:rPr>
        <w:t xml:space="preserve">4. An insurer’s duty of good faith and fair dealing “extends to the advertisement and purchase” of its insurance policies. </w:t>
      </w:r>
      <w:r w:rsidR="00CB13C1" w:rsidRPr="00CB13C1">
        <w:rPr>
          <w:rFonts w:eastAsia="Times New Roman"/>
          <w:b/>
          <w:sz w:val="24"/>
          <w:szCs w:val="24"/>
        </w:rPr>
        <w:t xml:space="preserve">Estate of </w:t>
      </w:r>
      <w:r w:rsidRPr="00305CB3">
        <w:rPr>
          <w:rFonts w:eastAsia="Times New Roman"/>
          <w:b/>
          <w:sz w:val="24"/>
          <w:szCs w:val="24"/>
        </w:rPr>
        <w:t>Casper v. Guar. Tr. Life Ins. Co.</w:t>
      </w:r>
      <w:r w:rsidRPr="00305CB3">
        <w:rPr>
          <w:rFonts w:eastAsia="Times New Roman"/>
          <w:sz w:val="24"/>
          <w:szCs w:val="24"/>
        </w:rPr>
        <w:t xml:space="preserve">, 2016 COA </w:t>
      </w:r>
      <w:r w:rsidRPr="00305CB3">
        <w:rPr>
          <w:rFonts w:eastAsia="Times New Roman"/>
          <w:sz w:val="24"/>
          <w:szCs w:val="24"/>
        </w:rPr>
        <w:lastRenderedPageBreak/>
        <w:t>167, ¶ 74</w:t>
      </w:r>
      <w:r w:rsidR="00211BAE">
        <w:rPr>
          <w:rFonts w:eastAsia="Times New Roman"/>
          <w:sz w:val="24"/>
          <w:szCs w:val="24"/>
        </w:rPr>
        <w:t>, 421 P.3d 1184</w:t>
      </w:r>
      <w:r w:rsidRPr="00305CB3">
        <w:rPr>
          <w:rFonts w:eastAsia="Times New Roman"/>
          <w:sz w:val="24"/>
          <w:szCs w:val="24"/>
        </w:rPr>
        <w:t xml:space="preserve"> (citing</w:t>
      </w:r>
      <w:r w:rsidRPr="00305CB3">
        <w:rPr>
          <w:rFonts w:eastAsia="Times New Roman"/>
          <w:i/>
          <w:sz w:val="24"/>
          <w:szCs w:val="24"/>
        </w:rPr>
        <w:t xml:space="preserve"> </w:t>
      </w:r>
      <w:r w:rsidRPr="00305CB3">
        <w:rPr>
          <w:rFonts w:eastAsia="Times New Roman"/>
          <w:b/>
          <w:sz w:val="24"/>
          <w:szCs w:val="24"/>
        </w:rPr>
        <w:t>Ballow v. PHICO Ins. Co.</w:t>
      </w:r>
      <w:r w:rsidRPr="00305CB3">
        <w:rPr>
          <w:rFonts w:eastAsia="Times New Roman"/>
          <w:sz w:val="24"/>
          <w:szCs w:val="24"/>
        </w:rPr>
        <w:t>, 875 P.2d 1354 (Colo. 1993))</w:t>
      </w:r>
      <w:r w:rsidR="00305CB3">
        <w:rPr>
          <w:rFonts w:eastAsia="Times New Roman"/>
          <w:sz w:val="24"/>
          <w:szCs w:val="24"/>
        </w:rPr>
        <w:t xml:space="preserve">, </w:t>
      </w:r>
      <w:r w:rsidR="00305CB3" w:rsidRPr="00305CB3">
        <w:rPr>
          <w:rFonts w:eastAsia="Times New Roman"/>
          <w:i/>
          <w:sz w:val="24"/>
          <w:szCs w:val="24"/>
        </w:rPr>
        <w:t>aff’d in part, rev’d in part on other grounds</w:t>
      </w:r>
      <w:r w:rsidR="00305CB3">
        <w:rPr>
          <w:rFonts w:eastAsia="Times New Roman"/>
          <w:sz w:val="24"/>
          <w:szCs w:val="24"/>
        </w:rPr>
        <w:t>, 2018 CO 43, 418 P.3d 1163</w:t>
      </w:r>
      <w:r w:rsidRPr="006A47FD">
        <w:rPr>
          <w:rFonts w:eastAsia="Times New Roman"/>
          <w:sz w:val="24"/>
          <w:szCs w:val="24"/>
        </w:rPr>
        <w:t xml:space="preserve">. </w:t>
      </w:r>
      <w:r w:rsidR="00764553" w:rsidRPr="00764553">
        <w:rPr>
          <w:sz w:val="24"/>
          <w:szCs w:val="24"/>
        </w:rPr>
        <w:t>The court of appeals affirmed the trial court’s giving of an instruction based on Insurance Regulation 4-2-</w:t>
      </w:r>
      <w:r w:rsidR="00764553">
        <w:rPr>
          <w:sz w:val="24"/>
          <w:szCs w:val="24"/>
        </w:rPr>
        <w:t>3</w:t>
      </w:r>
      <w:r w:rsidR="00764553" w:rsidRPr="00764553">
        <w:rPr>
          <w:sz w:val="24"/>
          <w:szCs w:val="24"/>
        </w:rPr>
        <w:t xml:space="preserve"> governing industry advertising as valid, but not conclusive, evidence of insurer bad faith based on the conduct of the insurer’s producers (the claims against whom settled prior to trial) in misrepresenting the nature of the policy purchased by plaintiff.</w:t>
      </w:r>
      <w:r w:rsidRPr="006A47FD">
        <w:rPr>
          <w:rFonts w:eastAsia="Times New Roman"/>
          <w:sz w:val="24"/>
          <w:szCs w:val="24"/>
        </w:rPr>
        <w:t xml:space="preserve"> </w:t>
      </w:r>
      <w:r w:rsidRPr="006A47FD">
        <w:rPr>
          <w:rFonts w:eastAsia="Times New Roman"/>
          <w:i/>
          <w:sz w:val="24"/>
          <w:szCs w:val="24"/>
        </w:rPr>
        <w:t>Id.</w:t>
      </w:r>
      <w:r w:rsidRPr="006A47FD">
        <w:rPr>
          <w:rFonts w:eastAsia="Times New Roman"/>
          <w:sz w:val="24"/>
          <w:szCs w:val="24"/>
        </w:rPr>
        <w:t xml:space="preserve"> at ¶ 77. </w:t>
      </w:r>
    </w:p>
    <w:p w14:paraId="4FDBCE0B" w14:textId="77777777" w:rsidR="006A47FD" w:rsidRDefault="006A47FD" w:rsidP="006A47FD">
      <w:pPr>
        <w:spacing w:after="240"/>
        <w:ind w:firstLine="720"/>
        <w:rPr>
          <w:rFonts w:eastAsia="Times New Roman"/>
          <w:sz w:val="24"/>
          <w:szCs w:val="24"/>
        </w:rPr>
      </w:pPr>
      <w:r w:rsidRPr="006A47FD">
        <w:rPr>
          <w:rFonts w:eastAsia="Times New Roman"/>
          <w:sz w:val="24"/>
          <w:szCs w:val="24"/>
        </w:rPr>
        <w:t xml:space="preserve">5. Both a self-insured employer under the Workers’ Compensation Act and an independent insurance adjuster acting on behalf of a self-insured employer owe a duty of good faith and fair dealing to an employee asserting a worker’s compensation claim. </w:t>
      </w:r>
      <w:r w:rsidRPr="006A47FD">
        <w:rPr>
          <w:rFonts w:eastAsia="Times New Roman"/>
          <w:b/>
          <w:sz w:val="24"/>
          <w:szCs w:val="24"/>
        </w:rPr>
        <w:t>Scott Wetzel Servs., Inc. v. Johnson</w:t>
      </w:r>
      <w:r w:rsidRPr="006A47FD">
        <w:rPr>
          <w:rFonts w:eastAsia="Times New Roman"/>
          <w:sz w:val="24"/>
          <w:szCs w:val="24"/>
        </w:rPr>
        <w:t xml:space="preserve">, 821 P.2d 804 (Colo. 1991). A third-party administrator that makes benefit determinations, assumes some of the insured risk, and undertakes many of the insurer’s obligations with the power, motive, and opportunity to act unscrupulously in handling claims has a special relationship with insureds from which liability for bad faith breach of insurance contract may arise despite lack of contractual privity with the insureds. </w:t>
      </w:r>
      <w:r w:rsidRPr="006A47FD">
        <w:rPr>
          <w:rFonts w:eastAsia="Times New Roman"/>
          <w:b/>
          <w:sz w:val="24"/>
          <w:szCs w:val="24"/>
        </w:rPr>
        <w:t>Cary v. United of Omaha Life Ins. Co.</w:t>
      </w:r>
      <w:r w:rsidRPr="006A47FD">
        <w:rPr>
          <w:rFonts w:eastAsia="Times New Roman"/>
          <w:sz w:val="24"/>
          <w:szCs w:val="24"/>
        </w:rPr>
        <w:t xml:space="preserve">, 68 P.3d 462 (Colo. 2003) (third-party administrator of city’s health insurance plan owed duty of good faith to persons insured under plan); </w:t>
      </w:r>
      <w:r w:rsidRPr="006A47FD">
        <w:rPr>
          <w:rFonts w:eastAsia="Times New Roman"/>
          <w:i/>
          <w:sz w:val="24"/>
          <w:szCs w:val="24"/>
        </w:rPr>
        <w:t xml:space="preserve">see also </w:t>
      </w:r>
      <w:r w:rsidRPr="006A47FD">
        <w:rPr>
          <w:rFonts w:eastAsia="Times New Roman"/>
          <w:b/>
          <w:sz w:val="24"/>
          <w:szCs w:val="24"/>
        </w:rPr>
        <w:t>Compton v. Safeway, Inc.</w:t>
      </w:r>
      <w:r w:rsidRPr="006A47FD">
        <w:rPr>
          <w:rFonts w:eastAsia="Times New Roman"/>
          <w:sz w:val="24"/>
          <w:szCs w:val="24"/>
        </w:rPr>
        <w:t>,</w:t>
      </w:r>
      <w:r w:rsidRPr="006A47FD">
        <w:rPr>
          <w:rFonts w:eastAsia="Times New Roman"/>
          <w:i/>
          <w:sz w:val="24"/>
          <w:szCs w:val="24"/>
        </w:rPr>
        <w:t xml:space="preserve"> </w:t>
      </w:r>
      <w:r w:rsidRPr="006A47FD">
        <w:rPr>
          <w:rFonts w:eastAsia="Times New Roman"/>
          <w:sz w:val="24"/>
          <w:szCs w:val="24"/>
        </w:rPr>
        <w:t xml:space="preserve">169 P.3d 135, 137 (Colo. 2007) (entity that self-insures through captive insurance company “functions like a traditional insurance company”). </w:t>
      </w:r>
      <w:r w:rsidRPr="006A47FD">
        <w:rPr>
          <w:rFonts w:eastAsia="Times New Roman"/>
          <w:i/>
          <w:sz w:val="24"/>
          <w:szCs w:val="24"/>
        </w:rPr>
        <w:t>But</w:t>
      </w:r>
      <w:r w:rsidRPr="006A47FD">
        <w:rPr>
          <w:rFonts w:eastAsia="Times New Roman"/>
          <w:sz w:val="24"/>
          <w:szCs w:val="24"/>
        </w:rPr>
        <w:t xml:space="preserve"> </w:t>
      </w:r>
      <w:r w:rsidRPr="006A47FD">
        <w:rPr>
          <w:rFonts w:eastAsia="Times New Roman"/>
          <w:i/>
          <w:sz w:val="24"/>
          <w:szCs w:val="24"/>
        </w:rPr>
        <w:t xml:space="preserve">see </w:t>
      </w:r>
      <w:r w:rsidRPr="006A47FD">
        <w:rPr>
          <w:rFonts w:eastAsia="Times New Roman"/>
          <w:b/>
          <w:sz w:val="24"/>
          <w:szCs w:val="24"/>
        </w:rPr>
        <w:t xml:space="preserve">Riccatone v. Colo. Choice Health Plans, </w:t>
      </w:r>
      <w:r w:rsidRPr="006A47FD">
        <w:rPr>
          <w:rFonts w:eastAsia="Times New Roman"/>
          <w:sz w:val="24"/>
          <w:szCs w:val="24"/>
        </w:rPr>
        <w:t>2013 COA 133, ¶ 45, 315 P.3d 203 (holding, without addressing the foregoing authorities, that third-party administrator and plan advisor may not be held liable for common law first-party bad faith).</w:t>
      </w:r>
    </w:p>
    <w:p w14:paraId="3E7C5370" w14:textId="5BE0B911" w:rsidR="00CB13C1" w:rsidRDefault="00544A0C" w:rsidP="00544A0C">
      <w:pPr>
        <w:ind w:firstLine="720"/>
        <w:rPr>
          <w:rFonts w:eastAsia="Times New Roman"/>
          <w:sz w:val="24"/>
          <w:szCs w:val="24"/>
        </w:rPr>
      </w:pPr>
      <w:r w:rsidRPr="00EA1205">
        <w:rPr>
          <w:rFonts w:eastAsia="Times New Roman"/>
          <w:sz w:val="24"/>
          <w:szCs w:val="24"/>
        </w:rPr>
        <w:t>6. Plaintiff, awarded damages for breach</w:t>
      </w:r>
      <w:r w:rsidR="003D1CAB">
        <w:rPr>
          <w:rFonts w:eastAsia="Times New Roman"/>
          <w:sz w:val="24"/>
          <w:szCs w:val="24"/>
        </w:rPr>
        <w:t xml:space="preserve"> of contract</w:t>
      </w:r>
      <w:r w:rsidRPr="00EA1205">
        <w:rPr>
          <w:rFonts w:eastAsia="Times New Roman"/>
          <w:sz w:val="24"/>
          <w:szCs w:val="24"/>
        </w:rPr>
        <w:t xml:space="preserve">, common law and statutory bad faith, and punitive damages, died after the verdicts were rendered but before final judgment, the entry of which had to await determination of section 10-3-1116(1) attorney fees and court costs and calculation of prejudgment interest and allowable punitive damages. </w:t>
      </w:r>
      <w:r w:rsidRPr="00EA1205">
        <w:rPr>
          <w:rFonts w:eastAsia="Times New Roman"/>
          <w:b/>
          <w:sz w:val="24"/>
          <w:szCs w:val="24"/>
        </w:rPr>
        <w:t>Estate of Casper</w:t>
      </w:r>
      <w:r w:rsidRPr="00EA1205">
        <w:rPr>
          <w:rFonts w:eastAsia="Times New Roman"/>
          <w:sz w:val="24"/>
          <w:szCs w:val="24"/>
        </w:rPr>
        <w:t>, ¶¶ 7-14</w:t>
      </w:r>
      <w:r w:rsidR="00BA2682">
        <w:rPr>
          <w:rFonts w:eastAsia="Times New Roman"/>
          <w:sz w:val="24"/>
          <w:szCs w:val="24"/>
        </w:rPr>
        <w:t>, 421 P.3d at 1187</w:t>
      </w:r>
      <w:r w:rsidRPr="00EA1205">
        <w:rPr>
          <w:rFonts w:eastAsia="Times New Roman"/>
          <w:sz w:val="24"/>
          <w:szCs w:val="24"/>
        </w:rPr>
        <w:t xml:space="preserve">. </w:t>
      </w:r>
      <w:r w:rsidRPr="00EA1205">
        <w:rPr>
          <w:sz w:val="24"/>
          <w:szCs w:val="24"/>
        </w:rPr>
        <w:t xml:space="preserve">Decedent’s estate was substituted as plaintiff, and insurer moved </w:t>
      </w:r>
      <w:r w:rsidR="003D1CAB">
        <w:rPr>
          <w:sz w:val="24"/>
          <w:szCs w:val="24"/>
        </w:rPr>
        <w:t xml:space="preserve">under the survival of claims statute </w:t>
      </w:r>
      <w:r w:rsidRPr="00EA1205">
        <w:rPr>
          <w:sz w:val="24"/>
          <w:szCs w:val="24"/>
        </w:rPr>
        <w:t xml:space="preserve">to set aside the verdict and limit damages to the breach of contract award. The trial court denied the motion, finding </w:t>
      </w:r>
      <w:r w:rsidR="003D1CAB">
        <w:rPr>
          <w:sz w:val="24"/>
          <w:szCs w:val="24"/>
        </w:rPr>
        <w:t>that because the</w:t>
      </w:r>
      <w:r w:rsidRPr="00EA1205">
        <w:rPr>
          <w:sz w:val="24"/>
          <w:szCs w:val="24"/>
        </w:rPr>
        <w:t xml:space="preserve"> plaintiff was alive when the verdict entered, </w:t>
      </w:r>
      <w:r w:rsidR="003D1CAB">
        <w:rPr>
          <w:sz w:val="24"/>
          <w:szCs w:val="24"/>
        </w:rPr>
        <w:t>the claims were</w:t>
      </w:r>
      <w:r w:rsidRPr="00EA1205">
        <w:rPr>
          <w:sz w:val="24"/>
          <w:szCs w:val="24"/>
        </w:rPr>
        <w:t xml:space="preserve"> no</w:t>
      </w:r>
      <w:r w:rsidR="003D1CAB">
        <w:rPr>
          <w:sz w:val="24"/>
          <w:szCs w:val="24"/>
        </w:rPr>
        <w:t>t</w:t>
      </w:r>
      <w:r w:rsidRPr="00EA1205">
        <w:rPr>
          <w:sz w:val="24"/>
          <w:szCs w:val="24"/>
        </w:rPr>
        <w:t xml:space="preserve"> abate</w:t>
      </w:r>
      <w:r w:rsidR="003D1CAB">
        <w:rPr>
          <w:sz w:val="24"/>
          <w:szCs w:val="24"/>
        </w:rPr>
        <w:t>d</w:t>
      </w:r>
      <w:r w:rsidRPr="00EA1205">
        <w:rPr>
          <w:sz w:val="24"/>
          <w:szCs w:val="24"/>
        </w:rPr>
        <w:t>. After determining the total amount of actual damages, including prejudgment interest, the court reduced the punitive damage award to the amount of actual damages and entered final judgment nunc</w:t>
      </w:r>
      <w:r>
        <w:rPr>
          <w:sz w:val="24"/>
          <w:szCs w:val="24"/>
        </w:rPr>
        <w:t xml:space="preserve"> pro tunc to the verdict date. </w:t>
      </w:r>
      <w:r w:rsidRPr="00EA1205">
        <w:rPr>
          <w:sz w:val="24"/>
          <w:szCs w:val="24"/>
        </w:rPr>
        <w:t xml:space="preserve">The supreme court affirmed </w:t>
      </w:r>
      <w:r w:rsidR="003D1CAB">
        <w:rPr>
          <w:sz w:val="24"/>
          <w:szCs w:val="24"/>
        </w:rPr>
        <w:t xml:space="preserve">the </w:t>
      </w:r>
      <w:r w:rsidRPr="00EA1205">
        <w:rPr>
          <w:sz w:val="24"/>
          <w:szCs w:val="24"/>
        </w:rPr>
        <w:t xml:space="preserve">denial of the insurer’s motion, holding that </w:t>
      </w:r>
      <w:r w:rsidR="003D1CAB">
        <w:rPr>
          <w:sz w:val="24"/>
          <w:szCs w:val="24"/>
        </w:rPr>
        <w:t xml:space="preserve">the </w:t>
      </w:r>
      <w:r w:rsidRPr="00EA1205">
        <w:rPr>
          <w:sz w:val="24"/>
          <w:szCs w:val="24"/>
        </w:rPr>
        <w:t>jury awards of noneconomic and punitive damages did not abate but reversed entry of judgment nunc pro tunc.</w:t>
      </w:r>
      <w:r w:rsidRPr="00EA1205">
        <w:rPr>
          <w:rFonts w:eastAsia="Times New Roman"/>
          <w:sz w:val="24"/>
          <w:szCs w:val="24"/>
        </w:rPr>
        <w:t xml:space="preserve"> </w:t>
      </w:r>
      <w:r w:rsidRPr="00EA1205">
        <w:rPr>
          <w:rFonts w:eastAsia="Times New Roman"/>
          <w:b/>
          <w:sz w:val="24"/>
          <w:szCs w:val="24"/>
        </w:rPr>
        <w:t>Guar. Tr. Life Ins. Co. v. Estate of Casper</w:t>
      </w:r>
      <w:r w:rsidRPr="00EA1205">
        <w:rPr>
          <w:rFonts w:eastAsia="Times New Roman"/>
          <w:sz w:val="24"/>
          <w:szCs w:val="24"/>
        </w:rPr>
        <w:t>, 2018 CO 43, ¶¶ 26-27, 418 P.3d 1163.</w:t>
      </w:r>
    </w:p>
    <w:p w14:paraId="4F28AF5A" w14:textId="77777777" w:rsidR="00544A0C" w:rsidRPr="006A47FD" w:rsidRDefault="00544A0C" w:rsidP="00544A0C">
      <w:pPr>
        <w:ind w:firstLine="720"/>
        <w:rPr>
          <w:rFonts w:eastAsia="Times New Roman"/>
          <w:sz w:val="24"/>
          <w:szCs w:val="24"/>
        </w:rPr>
      </w:pPr>
    </w:p>
    <w:p w14:paraId="4299C88D" w14:textId="4B161560" w:rsidR="006A47FD" w:rsidRPr="00B8438E" w:rsidRDefault="0007116C" w:rsidP="006A47FD">
      <w:pPr>
        <w:spacing w:after="240"/>
        <w:ind w:firstLine="720"/>
        <w:rPr>
          <w:rFonts w:eastAsia="Times New Roman"/>
          <w:sz w:val="24"/>
          <w:szCs w:val="24"/>
        </w:rPr>
      </w:pPr>
      <w:r w:rsidRPr="00B8438E">
        <w:rPr>
          <w:rFonts w:eastAsia="Times New Roman"/>
          <w:sz w:val="24"/>
          <w:szCs w:val="24"/>
        </w:rPr>
        <w:t>7</w:t>
      </w:r>
      <w:r w:rsidR="006A47FD" w:rsidRPr="00B8438E">
        <w:rPr>
          <w:rFonts w:eastAsia="Times New Roman"/>
          <w:sz w:val="24"/>
          <w:szCs w:val="24"/>
        </w:rPr>
        <w:t xml:space="preserve">. </w:t>
      </w:r>
      <w:r w:rsidR="00D32A43" w:rsidRPr="00B8438E">
        <w:rPr>
          <w:sz w:val="24"/>
          <w:szCs w:val="24"/>
        </w:rPr>
        <w:t xml:space="preserve">A UM/UIM claimant may recover </w:t>
      </w:r>
      <w:r w:rsidR="006A47FD" w:rsidRPr="00B8438E">
        <w:rPr>
          <w:rFonts w:eastAsia="Times New Roman"/>
          <w:sz w:val="24"/>
          <w:szCs w:val="24"/>
        </w:rPr>
        <w:t>section 1</w:t>
      </w:r>
      <w:r w:rsidR="0076649E" w:rsidRPr="00B8438E">
        <w:rPr>
          <w:rFonts w:eastAsia="Times New Roman"/>
          <w:sz w:val="24"/>
          <w:szCs w:val="24"/>
        </w:rPr>
        <w:t>3</w:t>
      </w:r>
      <w:r w:rsidR="006A47FD" w:rsidRPr="00B8438E">
        <w:rPr>
          <w:rFonts w:eastAsia="Times New Roman"/>
          <w:sz w:val="24"/>
          <w:szCs w:val="24"/>
        </w:rPr>
        <w:t xml:space="preserve">-21-101(a), C.R.S., </w:t>
      </w:r>
      <w:r w:rsidR="00D32A43" w:rsidRPr="00B8438E">
        <w:rPr>
          <w:sz w:val="24"/>
          <w:szCs w:val="24"/>
        </w:rPr>
        <w:t>prejudgment interest on benefits due only if all following elements are satisfied: (a) suit is filed for recovery of benefits; (b) prejudgment interest on damages is claimed in the complaint; (c) damages are awarded by the fact finder; and (d) final judgment is entered.</w:t>
      </w:r>
      <w:r w:rsidR="006A47FD" w:rsidRPr="00B8438E">
        <w:rPr>
          <w:rFonts w:eastAsia="Times New Roman"/>
          <w:sz w:val="24"/>
          <w:szCs w:val="24"/>
        </w:rPr>
        <w:t xml:space="preserve"> </w:t>
      </w:r>
      <w:r w:rsidR="006A47FD" w:rsidRPr="00B8438E">
        <w:rPr>
          <w:rFonts w:eastAsia="Times New Roman"/>
          <w:b/>
          <w:sz w:val="24"/>
          <w:szCs w:val="24"/>
        </w:rPr>
        <w:t>Munoz v. Am. Family Mut. Ins. Co.</w:t>
      </w:r>
      <w:r w:rsidR="006A47FD" w:rsidRPr="00B8438E">
        <w:rPr>
          <w:rFonts w:eastAsia="Times New Roman"/>
          <w:sz w:val="24"/>
          <w:szCs w:val="24"/>
        </w:rPr>
        <w:t xml:space="preserve">, </w:t>
      </w:r>
      <w:r w:rsidR="0076649E" w:rsidRPr="00B8438E">
        <w:rPr>
          <w:rFonts w:eastAsia="Times New Roman"/>
          <w:sz w:val="24"/>
          <w:szCs w:val="24"/>
        </w:rPr>
        <w:t>2018 CO 68, ¶ 20</w:t>
      </w:r>
      <w:r w:rsidR="00D32A43" w:rsidRPr="00B8438E">
        <w:rPr>
          <w:rFonts w:eastAsia="Times New Roman"/>
          <w:sz w:val="24"/>
          <w:szCs w:val="24"/>
        </w:rPr>
        <w:t>, 425 P.3d 1128</w:t>
      </w:r>
      <w:r w:rsidR="00DB16E7">
        <w:rPr>
          <w:rFonts w:eastAsia="Times New Roman"/>
          <w:sz w:val="24"/>
          <w:szCs w:val="24"/>
        </w:rPr>
        <w:t xml:space="preserve"> (</w:t>
      </w:r>
      <w:r w:rsidR="007655D6" w:rsidRPr="007655D6">
        <w:rPr>
          <w:rFonts w:eastAsia="Times New Roman"/>
          <w:sz w:val="24"/>
          <w:szCs w:val="24"/>
        </w:rPr>
        <w:t>prejudgment interest does not apply to claims resolved by settlement</w:t>
      </w:r>
      <w:r w:rsidR="00DB16E7">
        <w:rPr>
          <w:rFonts w:eastAsia="Times New Roman"/>
          <w:sz w:val="24"/>
          <w:szCs w:val="24"/>
        </w:rPr>
        <w:t>)</w:t>
      </w:r>
      <w:r w:rsidR="006A47FD" w:rsidRPr="00B8438E">
        <w:rPr>
          <w:rFonts w:eastAsia="Times New Roman"/>
          <w:sz w:val="24"/>
          <w:szCs w:val="24"/>
        </w:rPr>
        <w:t>.</w:t>
      </w:r>
      <w:r w:rsidR="006A47FD" w:rsidRPr="00B8438E" w:rsidDel="002F19C1">
        <w:rPr>
          <w:rFonts w:eastAsia="Times New Roman"/>
          <w:sz w:val="24"/>
          <w:szCs w:val="24"/>
        </w:rPr>
        <w:t xml:space="preserve"> </w:t>
      </w:r>
    </w:p>
    <w:p w14:paraId="20AFB366" w14:textId="01E14E42" w:rsidR="006A47FD" w:rsidRPr="006A47FD" w:rsidRDefault="0007116C" w:rsidP="00806B2F">
      <w:pPr>
        <w:spacing w:after="240"/>
        <w:ind w:firstLine="720"/>
        <w:rPr>
          <w:rFonts w:eastAsia="Times New Roman"/>
          <w:sz w:val="24"/>
          <w:szCs w:val="24"/>
        </w:rPr>
      </w:pPr>
      <w:r>
        <w:rPr>
          <w:rFonts w:eastAsia="Times New Roman"/>
          <w:sz w:val="24"/>
          <w:szCs w:val="24"/>
        </w:rPr>
        <w:t>8</w:t>
      </w:r>
      <w:r w:rsidR="006A47FD" w:rsidRPr="006A47FD">
        <w:rPr>
          <w:rFonts w:eastAsia="Times New Roman"/>
          <w:sz w:val="24"/>
          <w:szCs w:val="24"/>
        </w:rPr>
        <w:t xml:space="preserve">. </w:t>
      </w:r>
      <w:r w:rsidR="00806B2F">
        <w:rPr>
          <w:rFonts w:eastAsia="Times New Roman"/>
          <w:sz w:val="24"/>
          <w:szCs w:val="24"/>
        </w:rPr>
        <w:t>“[A]</w:t>
      </w:r>
      <w:r w:rsidR="00806B2F" w:rsidRPr="00806B2F">
        <w:rPr>
          <w:rFonts w:eastAsia="Times New Roman"/>
          <w:sz w:val="24"/>
          <w:szCs w:val="24"/>
        </w:rPr>
        <w:t xml:space="preserve">n injured co-worker is barred by operation of the </w:t>
      </w:r>
      <w:r w:rsidR="00900C33">
        <w:rPr>
          <w:rFonts w:eastAsia="Times New Roman"/>
          <w:sz w:val="24"/>
          <w:szCs w:val="24"/>
        </w:rPr>
        <w:t>[Workers’ Compensation Act’s]</w:t>
      </w:r>
      <w:r w:rsidR="00806B2F" w:rsidRPr="00806B2F">
        <w:rPr>
          <w:rFonts w:eastAsia="Times New Roman"/>
          <w:sz w:val="24"/>
          <w:szCs w:val="24"/>
        </w:rPr>
        <w:t xml:space="preserve"> exclusivity and co-employee immunity principles from recovering UM/UIM benefits from a co-employee vehicle owner</w:t>
      </w:r>
      <w:r w:rsidR="00806B2F">
        <w:rPr>
          <w:rFonts w:eastAsia="Times New Roman"/>
          <w:sz w:val="24"/>
          <w:szCs w:val="24"/>
        </w:rPr>
        <w:t>’</w:t>
      </w:r>
      <w:r w:rsidR="00806B2F" w:rsidRPr="00806B2F">
        <w:rPr>
          <w:rFonts w:eastAsia="Times New Roman"/>
          <w:sz w:val="24"/>
          <w:szCs w:val="24"/>
        </w:rPr>
        <w:t xml:space="preserve">s insurer for damages stemming from a work-related accident in which </w:t>
      </w:r>
      <w:r w:rsidR="00806B2F" w:rsidRPr="00806B2F">
        <w:rPr>
          <w:rFonts w:eastAsia="Times New Roman"/>
          <w:sz w:val="24"/>
          <w:szCs w:val="24"/>
        </w:rPr>
        <w:lastRenderedPageBreak/>
        <w:t>another co-employee negligently drove the owner</w:t>
      </w:r>
      <w:r w:rsidR="00806B2F">
        <w:rPr>
          <w:rFonts w:eastAsia="Times New Roman"/>
          <w:sz w:val="24"/>
          <w:szCs w:val="24"/>
        </w:rPr>
        <w:t>’</w:t>
      </w:r>
      <w:r w:rsidR="00806B2F" w:rsidRPr="00806B2F">
        <w:rPr>
          <w:rFonts w:eastAsia="Times New Roman"/>
          <w:sz w:val="24"/>
          <w:szCs w:val="24"/>
        </w:rPr>
        <w:t>s vehicle and the injured party was an authorized passenger</w:t>
      </w:r>
      <w:r w:rsidR="00806B2F">
        <w:rPr>
          <w:rFonts w:eastAsia="Times New Roman"/>
          <w:sz w:val="24"/>
          <w:szCs w:val="24"/>
        </w:rPr>
        <w:t xml:space="preserve">.” </w:t>
      </w:r>
      <w:r w:rsidR="00806B2F" w:rsidRPr="00806B2F">
        <w:rPr>
          <w:rFonts w:eastAsia="Times New Roman"/>
          <w:b/>
          <w:bCs/>
          <w:sz w:val="24"/>
          <w:szCs w:val="24"/>
        </w:rPr>
        <w:t>Ryser v. Shelter Mut. Ins. Co.</w:t>
      </w:r>
      <w:r w:rsidR="00806B2F" w:rsidRPr="00806B2F">
        <w:rPr>
          <w:rFonts w:eastAsia="Times New Roman"/>
          <w:sz w:val="24"/>
          <w:szCs w:val="24"/>
        </w:rPr>
        <w:t>, 2021 CO 11, ¶ 2, 480 P.3d 1286, 1287</w:t>
      </w:r>
      <w:r w:rsidR="00E93D03">
        <w:rPr>
          <w:rFonts w:eastAsia="Times New Roman"/>
          <w:sz w:val="24"/>
          <w:szCs w:val="24"/>
        </w:rPr>
        <w:t xml:space="preserve">. </w:t>
      </w:r>
      <w:r w:rsidR="00806B2F">
        <w:rPr>
          <w:rFonts w:eastAsia="Times New Roman"/>
          <w:sz w:val="24"/>
          <w:szCs w:val="24"/>
        </w:rPr>
        <w:t>By contrast, e</w:t>
      </w:r>
      <w:r w:rsidR="006A47FD" w:rsidRPr="006A47FD">
        <w:rPr>
          <w:rFonts w:eastAsia="Times New Roman"/>
          <w:sz w:val="24"/>
          <w:szCs w:val="24"/>
        </w:rPr>
        <w:t xml:space="preserve">mployer and co-employee immunity from suit by fellow employees under </w:t>
      </w:r>
      <w:r w:rsidR="00900C33">
        <w:rPr>
          <w:rFonts w:eastAsia="Times New Roman"/>
          <w:sz w:val="24"/>
          <w:szCs w:val="24"/>
        </w:rPr>
        <w:t>the</w:t>
      </w:r>
      <w:r w:rsidR="006A47FD" w:rsidRPr="006A47FD">
        <w:rPr>
          <w:rFonts w:eastAsia="Times New Roman"/>
          <w:sz w:val="24"/>
          <w:szCs w:val="24"/>
        </w:rPr>
        <w:t xml:space="preserve"> Workers’ Compensation Act is not a bar to an injured employee’s claim for UM/UIM insurance benefits </w:t>
      </w:r>
      <w:r w:rsidR="00E93D03">
        <w:rPr>
          <w:rFonts w:eastAsia="Times New Roman"/>
          <w:sz w:val="24"/>
          <w:szCs w:val="24"/>
        </w:rPr>
        <w:t xml:space="preserve">on </w:t>
      </w:r>
      <w:r w:rsidR="00525BBA">
        <w:rPr>
          <w:rFonts w:eastAsia="Times New Roman"/>
          <w:sz w:val="24"/>
          <w:szCs w:val="24"/>
        </w:rPr>
        <w:t xml:space="preserve">the </w:t>
      </w:r>
      <w:r w:rsidR="00E93D03">
        <w:rPr>
          <w:rFonts w:eastAsia="Times New Roman"/>
          <w:sz w:val="24"/>
          <w:szCs w:val="24"/>
        </w:rPr>
        <w:t xml:space="preserve">employee’s personal policy </w:t>
      </w:r>
      <w:r w:rsidR="006A47FD" w:rsidRPr="006A47FD">
        <w:rPr>
          <w:rFonts w:eastAsia="Times New Roman"/>
          <w:sz w:val="24"/>
          <w:szCs w:val="24"/>
        </w:rPr>
        <w:t xml:space="preserve">in excess of benefits due under the Act for damages caused by an at-fault co-employee driver. </w:t>
      </w:r>
      <w:r w:rsidR="006A47FD" w:rsidRPr="006A47FD">
        <w:rPr>
          <w:rFonts w:eastAsia="Times New Roman"/>
          <w:b/>
          <w:sz w:val="24"/>
          <w:szCs w:val="24"/>
        </w:rPr>
        <w:t>Am. Family Mut. Auto. Ins. Co. v. Ashour</w:t>
      </w:r>
      <w:r w:rsidR="006A47FD" w:rsidRPr="006A47FD">
        <w:rPr>
          <w:rFonts w:eastAsia="Times New Roman"/>
          <w:sz w:val="24"/>
          <w:szCs w:val="24"/>
        </w:rPr>
        <w:t>, 2017 COA 67, ¶¶ 66-73</w:t>
      </w:r>
      <w:r w:rsidR="0000771A">
        <w:rPr>
          <w:rFonts w:eastAsia="Times New Roman"/>
          <w:sz w:val="24"/>
          <w:szCs w:val="24"/>
        </w:rPr>
        <w:t>, 410 P.3d 753</w:t>
      </w:r>
      <w:r w:rsidR="006A47FD" w:rsidRPr="006A47FD">
        <w:rPr>
          <w:rFonts w:eastAsia="Times New Roman"/>
          <w:sz w:val="24"/>
          <w:szCs w:val="24"/>
        </w:rPr>
        <w:t xml:space="preserve"> (interpreting the phrase “legally entitled to recover” in section 10-4-609, C.R.S., to require only proof of tortfeasor fault and extent of damages to further the purposes of the UM/UIM statute).</w:t>
      </w:r>
    </w:p>
    <w:p w14:paraId="0F82124B" w14:textId="0D76DA26" w:rsidR="006A47FD" w:rsidRPr="006A47FD" w:rsidRDefault="0007116C" w:rsidP="006A47FD">
      <w:pPr>
        <w:spacing w:after="240"/>
        <w:ind w:firstLine="720"/>
        <w:rPr>
          <w:rFonts w:eastAsia="Times New Roman"/>
          <w:sz w:val="24"/>
          <w:szCs w:val="24"/>
        </w:rPr>
      </w:pPr>
      <w:r>
        <w:rPr>
          <w:rFonts w:eastAsia="Times New Roman"/>
          <w:sz w:val="24"/>
          <w:szCs w:val="24"/>
        </w:rPr>
        <w:t>9</w:t>
      </w:r>
      <w:r w:rsidR="006A47FD" w:rsidRPr="006A47FD">
        <w:rPr>
          <w:rFonts w:eastAsia="Times New Roman"/>
          <w:sz w:val="24"/>
          <w:szCs w:val="24"/>
        </w:rPr>
        <w:t xml:space="preserve">. A UIM policy provision requiring exhaustion of the at-fault driver’s liability coverage as a condition precedent to UIM coverage is void and unenforceable. </w:t>
      </w:r>
      <w:r w:rsidR="006A47FD" w:rsidRPr="006A47FD">
        <w:rPr>
          <w:rFonts w:eastAsia="Times New Roman"/>
          <w:b/>
          <w:sz w:val="24"/>
          <w:szCs w:val="24"/>
        </w:rPr>
        <w:t>Tubbs v. Farmers Ins. Exch.</w:t>
      </w:r>
      <w:r w:rsidR="006A47FD" w:rsidRPr="006A47FD">
        <w:rPr>
          <w:rFonts w:eastAsia="Times New Roman"/>
          <w:sz w:val="24"/>
          <w:szCs w:val="24"/>
        </w:rPr>
        <w:t xml:space="preserve">, 2015 COA 70, ¶ 11, 353 P.3d 924 (UIM insurer is liable for damages in excess of the tortfeasor’s liability limit regardless of whether the UIM insured exhausted or recovered any amount from the at-fault driver); </w:t>
      </w:r>
      <w:r w:rsidR="006A47FD" w:rsidRPr="006A47FD">
        <w:rPr>
          <w:rFonts w:eastAsia="Times New Roman"/>
          <w:i/>
          <w:sz w:val="24"/>
          <w:szCs w:val="24"/>
        </w:rPr>
        <w:t>see</w:t>
      </w:r>
      <w:r w:rsidR="006A47FD" w:rsidRPr="006A47FD">
        <w:rPr>
          <w:rFonts w:eastAsia="Times New Roman"/>
          <w:sz w:val="24"/>
          <w:szCs w:val="24"/>
        </w:rPr>
        <w:t xml:space="preserve"> </w:t>
      </w:r>
      <w:r w:rsidR="006A47FD" w:rsidRPr="006A47FD">
        <w:rPr>
          <w:rFonts w:eastAsia="Times New Roman"/>
          <w:b/>
          <w:sz w:val="24"/>
          <w:szCs w:val="24"/>
        </w:rPr>
        <w:t>Fisher v. State Farm Mut. Auto. Ins. Co.</w:t>
      </w:r>
      <w:r w:rsidR="006A47FD" w:rsidRPr="006A47FD">
        <w:rPr>
          <w:rFonts w:eastAsia="Times New Roman"/>
          <w:sz w:val="24"/>
          <w:szCs w:val="24"/>
        </w:rPr>
        <w:t>, 2015 COA 57, ¶¶ 19-20</w:t>
      </w:r>
      <w:r w:rsidR="003E604A">
        <w:rPr>
          <w:rFonts w:eastAsia="Times New Roman"/>
          <w:sz w:val="24"/>
          <w:szCs w:val="24"/>
        </w:rPr>
        <w:t>, 419 P.3d 985</w:t>
      </w:r>
      <w:r w:rsidR="006A47FD" w:rsidRPr="006A47FD">
        <w:rPr>
          <w:rFonts w:eastAsia="Times New Roman"/>
          <w:sz w:val="24"/>
          <w:szCs w:val="24"/>
        </w:rPr>
        <w:t xml:space="preserve"> (same)</w:t>
      </w:r>
      <w:r w:rsidR="003E604A">
        <w:rPr>
          <w:rFonts w:eastAsia="Times New Roman"/>
          <w:sz w:val="24"/>
          <w:szCs w:val="24"/>
        </w:rPr>
        <w:t xml:space="preserve">, </w:t>
      </w:r>
      <w:r w:rsidR="003E604A" w:rsidRPr="003E604A">
        <w:rPr>
          <w:rFonts w:eastAsia="Times New Roman"/>
          <w:i/>
          <w:sz w:val="24"/>
          <w:szCs w:val="24"/>
        </w:rPr>
        <w:t>aff’d on other grounds</w:t>
      </w:r>
      <w:r w:rsidR="003E604A">
        <w:rPr>
          <w:rFonts w:eastAsia="Times New Roman"/>
          <w:sz w:val="24"/>
          <w:szCs w:val="24"/>
        </w:rPr>
        <w:t>, 2018 CO 39, 418 P.3d 501</w:t>
      </w:r>
      <w:r w:rsidR="006A47FD" w:rsidRPr="006A47FD">
        <w:rPr>
          <w:rFonts w:eastAsia="Times New Roman"/>
          <w:sz w:val="24"/>
          <w:szCs w:val="24"/>
        </w:rPr>
        <w:t>.</w:t>
      </w:r>
    </w:p>
    <w:p w14:paraId="0C04909B" w14:textId="596693DA" w:rsidR="006A47FD" w:rsidRPr="00100D6D" w:rsidRDefault="0007116C" w:rsidP="006A47FD">
      <w:pPr>
        <w:spacing w:after="240"/>
        <w:ind w:firstLine="720"/>
        <w:rPr>
          <w:rFonts w:eastAsia="Times New Roman"/>
          <w:sz w:val="24"/>
          <w:szCs w:val="24"/>
        </w:rPr>
      </w:pPr>
      <w:r w:rsidRPr="00100D6D">
        <w:rPr>
          <w:rFonts w:eastAsia="Times New Roman"/>
          <w:sz w:val="24"/>
          <w:szCs w:val="24"/>
        </w:rPr>
        <w:t>10</w:t>
      </w:r>
      <w:r w:rsidR="006A47FD" w:rsidRPr="00100D6D">
        <w:rPr>
          <w:rFonts w:eastAsia="Times New Roman"/>
          <w:sz w:val="24"/>
          <w:szCs w:val="24"/>
        </w:rPr>
        <w:t xml:space="preserve">. A UM/UIM insurer does not “step into the shoes” of the </w:t>
      </w:r>
      <w:r w:rsidR="004B14B9" w:rsidRPr="00100D6D">
        <w:rPr>
          <w:rFonts w:eastAsia="Times New Roman"/>
          <w:sz w:val="24"/>
          <w:szCs w:val="24"/>
        </w:rPr>
        <w:t>at</w:t>
      </w:r>
      <w:r w:rsidR="00B17183">
        <w:rPr>
          <w:rFonts w:eastAsia="Times New Roman"/>
          <w:sz w:val="24"/>
          <w:szCs w:val="24"/>
        </w:rPr>
        <w:t>-</w:t>
      </w:r>
      <w:r w:rsidR="004B14B9" w:rsidRPr="00100D6D">
        <w:rPr>
          <w:rFonts w:eastAsia="Times New Roman"/>
          <w:sz w:val="24"/>
          <w:szCs w:val="24"/>
        </w:rPr>
        <w:t>fault</w:t>
      </w:r>
      <w:r w:rsidR="006A47FD" w:rsidRPr="00100D6D">
        <w:rPr>
          <w:rFonts w:eastAsia="Times New Roman"/>
          <w:sz w:val="24"/>
          <w:szCs w:val="24"/>
        </w:rPr>
        <w:t xml:space="preserve"> tortfeasor on the issue of liability. </w:t>
      </w:r>
      <w:r w:rsidR="006A47FD" w:rsidRPr="00100D6D">
        <w:rPr>
          <w:rFonts w:eastAsia="Times New Roman"/>
          <w:b/>
          <w:sz w:val="24"/>
          <w:szCs w:val="24"/>
        </w:rPr>
        <w:t>State Farm Mut. Auto. Ins. Co. v. Brekke</w:t>
      </w:r>
      <w:r w:rsidR="006A47FD" w:rsidRPr="00100D6D">
        <w:rPr>
          <w:rFonts w:eastAsia="Times New Roman"/>
          <w:sz w:val="24"/>
          <w:szCs w:val="24"/>
        </w:rPr>
        <w:t>, 105 P.3d 177 (Colo. 2004);</w:t>
      </w:r>
      <w:r w:rsidR="006A47FD" w:rsidRPr="00100D6D">
        <w:rPr>
          <w:rFonts w:eastAsia="Times New Roman"/>
          <w:b/>
          <w:sz w:val="24"/>
          <w:szCs w:val="24"/>
        </w:rPr>
        <w:t xml:space="preserve"> Parsons ex rel. Parsons v. Allstate Ins. Co.</w:t>
      </w:r>
      <w:r w:rsidR="006A47FD" w:rsidRPr="00100D6D">
        <w:rPr>
          <w:rFonts w:eastAsia="Times New Roman"/>
          <w:i/>
          <w:sz w:val="24"/>
          <w:szCs w:val="24"/>
        </w:rPr>
        <w:t>,</w:t>
      </w:r>
      <w:r w:rsidR="006A47FD" w:rsidRPr="00100D6D">
        <w:rPr>
          <w:rFonts w:eastAsia="Times New Roman"/>
          <w:sz w:val="24"/>
          <w:szCs w:val="24"/>
        </w:rPr>
        <w:t xml:space="preserve"> 165 P.3d 809 (Colo. App. 2006). A claim for bad faith failure to pay UM/UIM benefits is a first-party cause of action. </w:t>
      </w:r>
      <w:r w:rsidR="006A47FD" w:rsidRPr="00100D6D">
        <w:rPr>
          <w:rFonts w:eastAsia="Times New Roman"/>
          <w:b/>
          <w:sz w:val="24"/>
          <w:szCs w:val="24"/>
        </w:rPr>
        <w:t>Brekke</w:t>
      </w:r>
      <w:r w:rsidR="006A47FD" w:rsidRPr="00100D6D">
        <w:rPr>
          <w:rFonts w:eastAsia="Times New Roman"/>
          <w:sz w:val="24"/>
          <w:szCs w:val="24"/>
        </w:rPr>
        <w:t>, 105 P.3d at 188-89. “[A] bad faith claim for nonpayment of UIM benefits cannot accrue until the insured has obtained a judgment against or . . . settled with the underinsured driver.”</w:t>
      </w:r>
      <w:r w:rsidR="006A47FD" w:rsidRPr="00100D6D">
        <w:rPr>
          <w:rFonts w:eastAsia="Times New Roman"/>
          <w:b/>
          <w:sz w:val="24"/>
          <w:szCs w:val="24"/>
        </w:rPr>
        <w:t xml:space="preserve"> Cork v. Sentry Ins.</w:t>
      </w:r>
      <w:r w:rsidR="006A47FD" w:rsidRPr="00100D6D">
        <w:rPr>
          <w:rFonts w:eastAsia="Times New Roman"/>
          <w:sz w:val="24"/>
          <w:szCs w:val="24"/>
        </w:rPr>
        <w:t xml:space="preserve">, 194 P.3d 422, 428 (Colo. App. 2008); </w:t>
      </w:r>
      <w:r w:rsidR="006A47FD" w:rsidRPr="00100D6D">
        <w:rPr>
          <w:rFonts w:eastAsia="Times New Roman"/>
          <w:i/>
          <w:sz w:val="24"/>
          <w:szCs w:val="24"/>
        </w:rPr>
        <w:t>accord</w:t>
      </w:r>
      <w:r w:rsidR="006A47FD" w:rsidRPr="00100D6D">
        <w:rPr>
          <w:rFonts w:eastAsia="Times New Roman"/>
          <w:sz w:val="24"/>
          <w:szCs w:val="24"/>
        </w:rPr>
        <w:t xml:space="preserve"> </w:t>
      </w:r>
      <w:r w:rsidR="006A47FD" w:rsidRPr="00100D6D">
        <w:rPr>
          <w:rFonts w:eastAsia="Times New Roman"/>
          <w:b/>
          <w:sz w:val="24"/>
          <w:szCs w:val="24"/>
        </w:rPr>
        <w:t>Sanderson v. Am. Family Mut. Ins. Co.</w:t>
      </w:r>
      <w:r w:rsidR="006A47FD" w:rsidRPr="00100D6D">
        <w:rPr>
          <w:rFonts w:eastAsia="Times New Roman"/>
          <w:sz w:val="24"/>
          <w:szCs w:val="24"/>
        </w:rPr>
        <w:t>, 251 P.3d 1213 (Colo. App. 2010).</w:t>
      </w:r>
    </w:p>
    <w:p w14:paraId="6CC1894C" w14:textId="77777777" w:rsidR="00C235FD" w:rsidRDefault="006A47FD" w:rsidP="006A47FD">
      <w:pPr>
        <w:spacing w:after="240"/>
        <w:ind w:firstLine="720"/>
        <w:rPr>
          <w:rFonts w:eastAsia="Times New Roman"/>
          <w:sz w:val="24"/>
          <w:szCs w:val="24"/>
        </w:rPr>
      </w:pPr>
      <w:r w:rsidRPr="006A47FD">
        <w:rPr>
          <w:rFonts w:eastAsia="Times New Roman"/>
          <w:sz w:val="24"/>
          <w:szCs w:val="24"/>
        </w:rPr>
        <w:t>1</w:t>
      </w:r>
      <w:r w:rsidR="0007116C">
        <w:rPr>
          <w:rFonts w:eastAsia="Times New Roman"/>
          <w:sz w:val="24"/>
          <w:szCs w:val="24"/>
        </w:rPr>
        <w:t>1</w:t>
      </w:r>
      <w:r w:rsidRPr="006A47FD">
        <w:rPr>
          <w:rFonts w:eastAsia="Times New Roman"/>
          <w:sz w:val="24"/>
          <w:szCs w:val="24"/>
        </w:rPr>
        <w:t xml:space="preserve">. In </w:t>
      </w:r>
      <w:r w:rsidRPr="006A47FD">
        <w:rPr>
          <w:rFonts w:eastAsia="Times New Roman"/>
          <w:b/>
          <w:sz w:val="24"/>
          <w:szCs w:val="24"/>
        </w:rPr>
        <w:t>Clementi v. Nationwide Mut. Fire Ins. Co.</w:t>
      </w:r>
      <w:r w:rsidRPr="006A47FD">
        <w:rPr>
          <w:rFonts w:eastAsia="Times New Roman"/>
          <w:sz w:val="24"/>
          <w:szCs w:val="24"/>
        </w:rPr>
        <w:t xml:space="preserve">, 16 P.3d 223 (Colo. 2001), the supreme court adopted the notice-prejudice rule in the context of UIM claims; where notice is untimely, insurer has the burden to prove by a preponderance that it was prejudiced by the delay. </w:t>
      </w:r>
      <w:r w:rsidRPr="006A47FD">
        <w:rPr>
          <w:rFonts w:eastAsia="Times New Roman"/>
          <w:i/>
          <w:sz w:val="24"/>
          <w:szCs w:val="24"/>
        </w:rPr>
        <w:t>See also</w:t>
      </w:r>
      <w:r w:rsidRPr="006A47FD">
        <w:rPr>
          <w:rFonts w:eastAsia="Times New Roman"/>
          <w:sz w:val="24"/>
          <w:szCs w:val="24"/>
        </w:rPr>
        <w:t xml:space="preserve"> </w:t>
      </w:r>
      <w:r w:rsidRPr="006A47FD">
        <w:rPr>
          <w:rFonts w:eastAsia="Times New Roman"/>
          <w:b/>
          <w:sz w:val="24"/>
          <w:szCs w:val="24"/>
        </w:rPr>
        <w:t>Lauric v. USAA Cas. Ins. Co.</w:t>
      </w:r>
      <w:r w:rsidRPr="006A47FD">
        <w:rPr>
          <w:rFonts w:eastAsia="Times New Roman"/>
          <w:sz w:val="24"/>
          <w:szCs w:val="24"/>
        </w:rPr>
        <w:t>, 209 P.3d 190 (Colo. App. 2009) (applying notice-prejudice rule to violation of notice and “consent-to-settle” clauses in UM/UIM policies, and holding that a settlement in breach of such clauses gives rise to a rebuttable presumption that the insurer was prejudiced).</w:t>
      </w:r>
    </w:p>
    <w:p w14:paraId="094B4534" w14:textId="710876C6" w:rsidR="006A47FD" w:rsidRDefault="006A47FD" w:rsidP="006A47FD">
      <w:pPr>
        <w:spacing w:after="240"/>
        <w:ind w:firstLine="720"/>
        <w:rPr>
          <w:rFonts w:eastAsia="Times New Roman"/>
          <w:sz w:val="24"/>
          <w:szCs w:val="24"/>
        </w:rPr>
      </w:pPr>
      <w:r w:rsidRPr="006A47FD">
        <w:rPr>
          <w:rFonts w:eastAsia="Times New Roman"/>
          <w:sz w:val="24"/>
          <w:szCs w:val="24"/>
        </w:rPr>
        <w:t>1</w:t>
      </w:r>
      <w:r w:rsidR="0007116C">
        <w:rPr>
          <w:rFonts w:eastAsia="Times New Roman"/>
          <w:sz w:val="24"/>
          <w:szCs w:val="24"/>
        </w:rPr>
        <w:t>2</w:t>
      </w:r>
      <w:r w:rsidRPr="006A47FD">
        <w:rPr>
          <w:rFonts w:eastAsia="Times New Roman"/>
          <w:sz w:val="24"/>
          <w:szCs w:val="24"/>
        </w:rPr>
        <w:t xml:space="preserve">. Nothing in the language of section 10-4-109, C.R.S., prevents an agent of a named insured from exercising either implied or apparent authority to reject UM/UIM coverage on behalf of its principal, and one named insured may effectively reject that coverage on behalf of another named or additional insured. </w:t>
      </w:r>
      <w:r w:rsidRPr="006A47FD">
        <w:rPr>
          <w:rFonts w:eastAsia="Times New Roman"/>
          <w:b/>
          <w:sz w:val="24"/>
          <w:szCs w:val="24"/>
        </w:rPr>
        <w:t>State Farm Mut. Auto. Ins. Co. v. Johnson</w:t>
      </w:r>
      <w:r w:rsidRPr="006A47FD">
        <w:rPr>
          <w:rFonts w:eastAsia="Times New Roman"/>
          <w:sz w:val="24"/>
          <w:szCs w:val="24"/>
        </w:rPr>
        <w:t>, 2017 CO 68, ¶¶ 18, 24, 396 P.3d 651.</w:t>
      </w:r>
    </w:p>
    <w:p w14:paraId="2A67C48E" w14:textId="5DC47C81" w:rsidR="00504A75" w:rsidRDefault="00504A75" w:rsidP="00504A75">
      <w:pPr>
        <w:pStyle w:val="NormalWeb"/>
        <w:ind w:firstLine="720"/>
        <w:rPr>
          <w:color w:val="000000"/>
          <w:shd w:val="clear" w:color="auto" w:fill="FFFFFF"/>
        </w:rPr>
      </w:pPr>
      <w:r>
        <w:rPr>
          <w:color w:val="000000"/>
          <w:shd w:val="clear" w:color="auto" w:fill="FFFFFF"/>
        </w:rPr>
        <w:t xml:space="preserve">13. </w:t>
      </w:r>
      <w:r w:rsidRPr="00A0200E">
        <w:rPr>
          <w:color w:val="000000"/>
          <w:shd w:val="clear" w:color="auto" w:fill="FFFFFF"/>
        </w:rPr>
        <w:t xml:space="preserve">In </w:t>
      </w:r>
      <w:r w:rsidRPr="00A0200E">
        <w:rPr>
          <w:b/>
          <w:bCs/>
          <w:color w:val="000000"/>
          <w:shd w:val="clear" w:color="auto" w:fill="FFFFFF"/>
        </w:rPr>
        <w:t>Hughes v. Essentia Ins. Co.</w:t>
      </w:r>
      <w:r w:rsidRPr="00A0200E">
        <w:rPr>
          <w:color w:val="000000"/>
          <w:shd w:val="clear" w:color="auto" w:fill="FFFFFF"/>
        </w:rPr>
        <w:t xml:space="preserve">, 2022 COA 49, </w:t>
      </w:r>
      <w:r w:rsidR="00CD5E12">
        <w:rPr>
          <w:color w:val="000000"/>
          <w:shd w:val="clear" w:color="auto" w:fill="FFFFFF"/>
        </w:rPr>
        <w:t xml:space="preserve">¶ 5, </w:t>
      </w:r>
      <w:r w:rsidRPr="00A0200E">
        <w:rPr>
          <w:color w:val="000000"/>
          <w:shd w:val="clear" w:color="auto" w:fill="FFFFFF"/>
        </w:rPr>
        <w:t>516 P.3d 31, the court of appeals concluded that the regular use vehicle exclusion to UM/UIM coverage is inconsistent with section 10-4-609, C.R.S.</w:t>
      </w:r>
      <w:r w:rsidR="00496567">
        <w:rPr>
          <w:color w:val="000000"/>
          <w:shd w:val="clear" w:color="auto" w:fill="FFFFFF"/>
        </w:rPr>
        <w:t>,</w:t>
      </w:r>
      <w:r w:rsidRPr="00A0200E">
        <w:rPr>
          <w:color w:val="000000"/>
          <w:shd w:val="clear" w:color="auto" w:fill="FFFFFF"/>
        </w:rPr>
        <w:t xml:space="preserve"> and violates Colorado public policy because</w:t>
      </w:r>
      <w:r w:rsidRPr="00A0200E">
        <w:rPr>
          <w:color w:val="3D3D3D"/>
          <w:shd w:val="clear" w:color="auto" w:fill="FFFFFF"/>
        </w:rPr>
        <w:t xml:space="preserve"> UM/UIM benefits cover</w:t>
      </w:r>
      <w:r>
        <w:rPr>
          <w:rStyle w:val="apple-converted-space"/>
          <w:color w:val="3D3D3D"/>
          <w:shd w:val="clear" w:color="auto" w:fill="FFFFFF"/>
        </w:rPr>
        <w:t xml:space="preserve"> persons i</w:t>
      </w:r>
      <w:r w:rsidRPr="00A0200E">
        <w:rPr>
          <w:color w:val="3D3D3D"/>
          <w:shd w:val="clear" w:color="auto" w:fill="FFFFFF"/>
        </w:rPr>
        <w:t>njured by uninsured or underinsure</w:t>
      </w:r>
      <w:r w:rsidR="00DB7395">
        <w:rPr>
          <w:color w:val="3D3D3D"/>
          <w:shd w:val="clear" w:color="auto" w:fill="FFFFFF"/>
        </w:rPr>
        <w:t>d</w:t>
      </w:r>
      <w:r w:rsidRPr="00A0200E">
        <w:rPr>
          <w:color w:val="3D3D3D"/>
          <w:shd w:val="clear" w:color="auto" w:fill="FFFFFF"/>
        </w:rPr>
        <w:t xml:space="preserve"> motorists and cannot be tied to the occupancy or use of a particular vehicle or type of vehicle.</w:t>
      </w:r>
      <w:r w:rsidR="001C2259" w:rsidRPr="00055882">
        <w:rPr>
          <w:shd w:val="clear" w:color="auto" w:fill="FFFFFF"/>
        </w:rPr>
        <w:t xml:space="preserve"> </w:t>
      </w:r>
      <w:r w:rsidR="001C2259">
        <w:rPr>
          <w:i/>
          <w:iCs/>
          <w:shd w:val="clear" w:color="auto" w:fill="FFFFFF"/>
        </w:rPr>
        <w:t>Cf.</w:t>
      </w:r>
      <w:r w:rsidR="001C2259" w:rsidRPr="00055882">
        <w:rPr>
          <w:shd w:val="clear" w:color="auto" w:fill="FFFFFF"/>
        </w:rPr>
        <w:t xml:space="preserve"> </w:t>
      </w:r>
      <w:r w:rsidR="001C2259" w:rsidRPr="00055882">
        <w:rPr>
          <w:b/>
          <w:bCs/>
          <w:shd w:val="clear" w:color="auto" w:fill="FFFFFF"/>
        </w:rPr>
        <w:t>Del Valle v. Cal</w:t>
      </w:r>
      <w:r w:rsidR="001C2259">
        <w:rPr>
          <w:b/>
          <w:bCs/>
          <w:shd w:val="clear" w:color="auto" w:fill="FFFFFF"/>
        </w:rPr>
        <w:t>.</w:t>
      </w:r>
      <w:r w:rsidR="001C2259" w:rsidRPr="00055882">
        <w:rPr>
          <w:b/>
          <w:bCs/>
          <w:shd w:val="clear" w:color="auto" w:fill="FFFFFF"/>
        </w:rPr>
        <w:t xml:space="preserve"> Cas. Indem. Exch.</w:t>
      </w:r>
      <w:r w:rsidR="001C2259" w:rsidRPr="00055882">
        <w:rPr>
          <w:shd w:val="clear" w:color="auto" w:fill="FFFFFF"/>
        </w:rPr>
        <w:t>, 2022 COA 138, ¶¶ 14, 15, 22, 525 P.3d 689</w:t>
      </w:r>
      <w:r w:rsidR="001C2259">
        <w:rPr>
          <w:shd w:val="clear" w:color="auto" w:fill="FFFFFF"/>
        </w:rPr>
        <w:t xml:space="preserve"> (concluding </w:t>
      </w:r>
      <w:r w:rsidR="001C2259" w:rsidRPr="00055882">
        <w:rPr>
          <w:shd w:val="clear" w:color="auto" w:fill="FFFFFF"/>
        </w:rPr>
        <w:t xml:space="preserve">that an automobile policy exclusion for medical payments for which workers’ compensation benefits are available does not violate </w:t>
      </w:r>
      <w:r w:rsidR="001C2259" w:rsidRPr="00055882">
        <w:rPr>
          <w:shd w:val="clear" w:color="auto" w:fill="FFFFFF"/>
        </w:rPr>
        <w:lastRenderedPageBreak/>
        <w:t xml:space="preserve">public policy because section 10-4-635, C.R.S., requires only that an insurer </w:t>
      </w:r>
      <w:r w:rsidR="001C2259" w:rsidRPr="00055882">
        <w:rPr>
          <w:i/>
          <w:iCs/>
          <w:shd w:val="clear" w:color="auto" w:fill="FFFFFF"/>
        </w:rPr>
        <w:t>offer</w:t>
      </w:r>
      <w:r w:rsidR="001C2259" w:rsidRPr="00055882">
        <w:rPr>
          <w:shd w:val="clear" w:color="auto" w:fill="FFFFFF"/>
        </w:rPr>
        <w:t xml:space="preserve"> at least $5,000 in coverage for medical expenses for</w:t>
      </w:r>
      <w:r w:rsidR="001C2259">
        <w:rPr>
          <w:shd w:val="clear" w:color="auto" w:fill="FFFFFF"/>
        </w:rPr>
        <w:t xml:space="preserve"> motor vehicle</w:t>
      </w:r>
      <w:r w:rsidR="001C2259" w:rsidRPr="00055882">
        <w:rPr>
          <w:shd w:val="clear" w:color="auto" w:fill="FFFFFF"/>
        </w:rPr>
        <w:t xml:space="preserve"> bodily injury</w:t>
      </w:r>
      <w:r w:rsidR="001C2259">
        <w:rPr>
          <w:shd w:val="clear" w:color="auto" w:fill="FFFFFF"/>
        </w:rPr>
        <w:t xml:space="preserve">, </w:t>
      </w:r>
      <w:r w:rsidR="001C2259" w:rsidRPr="00055882">
        <w:rPr>
          <w:shd w:val="clear" w:color="auto" w:fill="FFFFFF"/>
        </w:rPr>
        <w:t xml:space="preserve">and an insured may decline such coverage, </w:t>
      </w:r>
      <w:r w:rsidR="001C2259">
        <w:rPr>
          <w:shd w:val="clear" w:color="auto" w:fill="FFFFFF"/>
        </w:rPr>
        <w:t xml:space="preserve">therefore such </w:t>
      </w:r>
      <w:r w:rsidR="001C2259" w:rsidRPr="00055882">
        <w:rPr>
          <w:shd w:val="clear" w:color="auto" w:fill="FFFFFF"/>
        </w:rPr>
        <w:t>coverage is not statutorily required</w:t>
      </w:r>
      <w:r w:rsidR="001C2259">
        <w:rPr>
          <w:shd w:val="clear" w:color="auto" w:fill="FFFFFF"/>
        </w:rPr>
        <w:t>)</w:t>
      </w:r>
      <w:r w:rsidR="001C2259" w:rsidRPr="00055882">
        <w:rPr>
          <w:shd w:val="clear" w:color="auto" w:fill="FFFFFF"/>
        </w:rPr>
        <w:t>.</w:t>
      </w:r>
    </w:p>
    <w:p w14:paraId="47BDF6DF" w14:textId="1E636CD3" w:rsidR="00504A75" w:rsidRPr="006A47FD" w:rsidRDefault="00504A75" w:rsidP="001D663D">
      <w:pPr>
        <w:spacing w:after="240"/>
        <w:ind w:firstLine="720"/>
        <w:rPr>
          <w:rFonts w:eastAsia="Times New Roman"/>
          <w:sz w:val="24"/>
          <w:szCs w:val="24"/>
        </w:rPr>
      </w:pPr>
      <w:r>
        <w:rPr>
          <w:rFonts w:eastAsia="Times New Roman"/>
          <w:sz w:val="24"/>
          <w:szCs w:val="24"/>
        </w:rPr>
        <w:t>14</w:t>
      </w:r>
      <w:r w:rsidRPr="00A30B0E">
        <w:rPr>
          <w:rFonts w:eastAsia="Times New Roman"/>
          <w:sz w:val="24"/>
          <w:szCs w:val="24"/>
        </w:rPr>
        <w:t xml:space="preserve">. </w:t>
      </w:r>
      <w:r>
        <w:rPr>
          <w:rFonts w:eastAsia="Times New Roman"/>
          <w:sz w:val="24"/>
          <w:szCs w:val="24"/>
        </w:rPr>
        <w:t xml:space="preserve">In </w:t>
      </w:r>
      <w:r w:rsidRPr="00496567">
        <w:rPr>
          <w:b/>
          <w:bCs/>
          <w:color w:val="000000"/>
          <w:sz w:val="24"/>
          <w:szCs w:val="24"/>
          <w:shd w:val="clear" w:color="auto" w:fill="FFFFFF"/>
        </w:rPr>
        <w:t>Gregory v. Safeco Ins. Co.</w:t>
      </w:r>
      <w:r w:rsidRPr="00496567">
        <w:rPr>
          <w:color w:val="000000"/>
          <w:sz w:val="24"/>
          <w:szCs w:val="24"/>
          <w:shd w:val="clear" w:color="auto" w:fill="FFFFFF"/>
        </w:rPr>
        <w:t xml:space="preserve">, 2022 COA 45, </w:t>
      </w:r>
      <w:r w:rsidR="00CD5E12" w:rsidRPr="00496567">
        <w:rPr>
          <w:color w:val="000000"/>
          <w:sz w:val="24"/>
          <w:szCs w:val="24"/>
          <w:shd w:val="clear" w:color="auto" w:fill="FFFFFF"/>
        </w:rPr>
        <w:t xml:space="preserve">¶¶ 2, 39, </w:t>
      </w:r>
      <w:r w:rsidRPr="00496567">
        <w:rPr>
          <w:color w:val="000000"/>
          <w:sz w:val="24"/>
          <w:szCs w:val="24"/>
          <w:shd w:val="clear" w:color="auto" w:fill="FFFFFF"/>
        </w:rPr>
        <w:t>514 P.3d 971</w:t>
      </w:r>
      <w:r w:rsidR="00C235FD" w:rsidRPr="00496567">
        <w:rPr>
          <w:color w:val="000000"/>
          <w:sz w:val="24"/>
          <w:szCs w:val="24"/>
          <w:shd w:val="clear" w:color="auto" w:fill="FFFFFF"/>
        </w:rPr>
        <w:t xml:space="preserve"> (</w:t>
      </w:r>
      <w:r w:rsidRPr="00496567">
        <w:rPr>
          <w:i/>
          <w:iCs/>
          <w:color w:val="000000"/>
          <w:sz w:val="24"/>
          <w:szCs w:val="24"/>
          <w:shd w:val="clear" w:color="auto" w:fill="FFFFFF"/>
        </w:rPr>
        <w:t>cert. granted</w:t>
      </w:r>
      <w:r w:rsidR="00C235FD" w:rsidRPr="00496567">
        <w:rPr>
          <w:i/>
          <w:iCs/>
          <w:color w:val="000000"/>
          <w:sz w:val="24"/>
          <w:szCs w:val="24"/>
          <w:shd w:val="clear" w:color="auto" w:fill="FFFFFF"/>
        </w:rPr>
        <w:t xml:space="preserve"> </w:t>
      </w:r>
      <w:r w:rsidR="00C235FD" w:rsidRPr="00496567">
        <w:rPr>
          <w:color w:val="000000"/>
          <w:sz w:val="24"/>
          <w:szCs w:val="24"/>
          <w:shd w:val="clear" w:color="auto" w:fill="FFFFFF"/>
        </w:rPr>
        <w:t>Dec. 12, 2022)</w:t>
      </w:r>
      <w:r w:rsidRPr="00496567">
        <w:rPr>
          <w:color w:val="000000"/>
          <w:sz w:val="24"/>
          <w:szCs w:val="24"/>
          <w:shd w:val="clear" w:color="auto" w:fill="FFFFFF"/>
        </w:rPr>
        <w:t>,</w:t>
      </w:r>
      <w:r>
        <w:rPr>
          <w:color w:val="000000"/>
          <w:shd w:val="clear" w:color="auto" w:fill="FFFFFF"/>
        </w:rPr>
        <w:t xml:space="preserve"> </w:t>
      </w:r>
      <w:r>
        <w:rPr>
          <w:rFonts w:eastAsia="Times New Roman"/>
          <w:sz w:val="24"/>
          <w:szCs w:val="24"/>
        </w:rPr>
        <w:t>t</w:t>
      </w:r>
      <w:r w:rsidRPr="00A30B0E">
        <w:rPr>
          <w:rFonts w:eastAsia="Times New Roman"/>
          <w:sz w:val="24"/>
          <w:szCs w:val="24"/>
        </w:rPr>
        <w:t xml:space="preserve">he court of appeals declined to apply the notice-prejudice rule to a first-party claim for property damage under a homeowner’s </w:t>
      </w:r>
      <w:r w:rsidR="00286B57">
        <w:rPr>
          <w:rFonts w:eastAsia="Times New Roman"/>
          <w:sz w:val="24"/>
          <w:szCs w:val="24"/>
        </w:rPr>
        <w:t xml:space="preserve">property and casualty </w:t>
      </w:r>
      <w:r w:rsidRPr="00A30B0E">
        <w:rPr>
          <w:rFonts w:eastAsia="Times New Roman"/>
          <w:sz w:val="24"/>
          <w:szCs w:val="24"/>
        </w:rPr>
        <w:t xml:space="preserve">policy. </w:t>
      </w:r>
      <w:r>
        <w:rPr>
          <w:rFonts w:eastAsia="Times New Roman"/>
          <w:sz w:val="24"/>
          <w:szCs w:val="24"/>
        </w:rPr>
        <w:t>Instead, the court enforced the notice-of-loss provision in the policy that required the insured to provide the insurer with notice within 365 days of her loss.</w:t>
      </w:r>
    </w:p>
    <w:p w14:paraId="27AAA46C" w14:textId="2EE91E12" w:rsidR="006A47FD" w:rsidRPr="006A47FD" w:rsidRDefault="006A47FD" w:rsidP="006A47FD">
      <w:pPr>
        <w:spacing w:after="240"/>
        <w:ind w:firstLine="720"/>
        <w:rPr>
          <w:rFonts w:eastAsia="Times New Roman"/>
          <w:sz w:val="24"/>
          <w:szCs w:val="24"/>
        </w:rPr>
      </w:pPr>
      <w:r w:rsidRPr="006A47FD">
        <w:rPr>
          <w:rFonts w:eastAsia="Times New Roman"/>
          <w:sz w:val="24"/>
          <w:szCs w:val="24"/>
        </w:rPr>
        <w:t>1</w:t>
      </w:r>
      <w:r w:rsidR="006411C9">
        <w:rPr>
          <w:rFonts w:eastAsia="Times New Roman"/>
          <w:sz w:val="24"/>
          <w:szCs w:val="24"/>
        </w:rPr>
        <w:t>5</w:t>
      </w:r>
      <w:r w:rsidRPr="006A47FD">
        <w:rPr>
          <w:rFonts w:eastAsia="Times New Roman"/>
          <w:sz w:val="24"/>
          <w:szCs w:val="24"/>
        </w:rPr>
        <w:t xml:space="preserve">. Section 10-4-517, C.R.S., immunizes the Colorado Insurance Guaranty Association from liability for bad faith breach of insurance contract. </w:t>
      </w:r>
      <w:r w:rsidRPr="006A47FD">
        <w:rPr>
          <w:rFonts w:eastAsia="Times New Roman"/>
          <w:b/>
          <w:sz w:val="24"/>
          <w:szCs w:val="24"/>
        </w:rPr>
        <w:t>Mosley v. Indus. Claim Appeals Office</w:t>
      </w:r>
      <w:r w:rsidRPr="006A47FD">
        <w:rPr>
          <w:rFonts w:eastAsia="Times New Roman"/>
          <w:sz w:val="24"/>
          <w:szCs w:val="24"/>
        </w:rPr>
        <w:t>, 119 P.3d 576 (Colo. App. 2005).</w:t>
      </w:r>
    </w:p>
    <w:p w14:paraId="5872967B" w14:textId="01C0204B" w:rsidR="006A47FD" w:rsidRPr="006A47FD" w:rsidRDefault="006A47FD" w:rsidP="006A47FD">
      <w:pPr>
        <w:spacing w:after="240"/>
        <w:ind w:firstLine="720"/>
        <w:rPr>
          <w:rFonts w:eastAsia="Times New Roman"/>
          <w:sz w:val="24"/>
          <w:szCs w:val="24"/>
        </w:rPr>
      </w:pPr>
      <w:r w:rsidRPr="006A47FD">
        <w:rPr>
          <w:rFonts w:eastAsia="Times New Roman"/>
          <w:sz w:val="24"/>
          <w:szCs w:val="24"/>
        </w:rPr>
        <w:t>1</w:t>
      </w:r>
      <w:r w:rsidR="006411C9">
        <w:rPr>
          <w:rFonts w:eastAsia="Times New Roman"/>
          <w:sz w:val="24"/>
          <w:szCs w:val="24"/>
        </w:rPr>
        <w:t>6</w:t>
      </w:r>
      <w:r w:rsidRPr="006A47FD">
        <w:rPr>
          <w:rFonts w:eastAsia="Times New Roman"/>
          <w:sz w:val="24"/>
          <w:szCs w:val="24"/>
        </w:rPr>
        <w:t xml:space="preserve">. A private insurance company acting in an independent-contractor capacity as a third-party administrator of retirement disability claims for the Public Employees Retirement Association, an instrumentality of the state, is not protected by governmental immunity. </w:t>
      </w:r>
      <w:r w:rsidRPr="006A47FD">
        <w:rPr>
          <w:rFonts w:eastAsia="Times New Roman"/>
          <w:b/>
          <w:sz w:val="24"/>
          <w:szCs w:val="24"/>
        </w:rPr>
        <w:t>Moran v. Standard Ins. Co.</w:t>
      </w:r>
      <w:r w:rsidRPr="006A47FD">
        <w:rPr>
          <w:rFonts w:eastAsia="Times New Roman"/>
          <w:sz w:val="24"/>
          <w:szCs w:val="24"/>
        </w:rPr>
        <w:t xml:space="preserve">, 187 P.3d 1162 (Colo. App. 2008). A bad faith claim against a self-insured municipality is barred by governmental immunity, but an independent adjusting company acting on behalf of the municipality may be sued for bad faith. </w:t>
      </w:r>
      <w:r w:rsidRPr="006A47FD">
        <w:rPr>
          <w:rFonts w:eastAsia="Times New Roman"/>
          <w:b/>
          <w:sz w:val="24"/>
          <w:szCs w:val="24"/>
        </w:rPr>
        <w:t>Jordan v. City of Aurora</w:t>
      </w:r>
      <w:r w:rsidRPr="006A47FD">
        <w:rPr>
          <w:rFonts w:eastAsia="Times New Roman"/>
          <w:sz w:val="24"/>
          <w:szCs w:val="24"/>
        </w:rPr>
        <w:t xml:space="preserve">, 876 P.2d 38 (Colo. App. 1993). A nonprofit intermediary formed by public entities to provide insurance services to an immune self-insurance pool, on the other hand, is immune from liability as an “instrumentality” of a public entity and as a separate entity created by intergovernmental cooperation. </w:t>
      </w:r>
      <w:r w:rsidRPr="006A47FD">
        <w:rPr>
          <w:rFonts w:eastAsia="Times New Roman"/>
          <w:b/>
          <w:sz w:val="24"/>
          <w:szCs w:val="24"/>
        </w:rPr>
        <w:t>Colo. Special Dists. Prop. &amp; Liab. Pool v. Lyons</w:t>
      </w:r>
      <w:r w:rsidRPr="006A47FD">
        <w:rPr>
          <w:rFonts w:eastAsia="Times New Roman"/>
          <w:sz w:val="24"/>
          <w:szCs w:val="24"/>
        </w:rPr>
        <w:t>, 2012 COA 18, ¶ 45, 277 P.3d 874 (third-party case).</w:t>
      </w:r>
      <w:r w:rsidRPr="006A47FD">
        <w:rPr>
          <w:rFonts w:eastAsia="Times New Roman"/>
          <w:b/>
          <w:sz w:val="24"/>
          <w:szCs w:val="24"/>
        </w:rPr>
        <w:t xml:space="preserve"> </w:t>
      </w:r>
    </w:p>
    <w:p w14:paraId="3F03BEF5" w14:textId="42A3937F" w:rsidR="006A47FD" w:rsidRPr="006A47FD" w:rsidRDefault="006A47FD" w:rsidP="006A47FD">
      <w:pPr>
        <w:spacing w:after="240"/>
        <w:ind w:firstLine="720"/>
        <w:rPr>
          <w:rFonts w:eastAsia="Times New Roman"/>
          <w:sz w:val="24"/>
          <w:szCs w:val="24"/>
        </w:rPr>
      </w:pPr>
      <w:r w:rsidRPr="006A47FD">
        <w:rPr>
          <w:rFonts w:eastAsia="Times New Roman"/>
          <w:sz w:val="24"/>
          <w:szCs w:val="24"/>
        </w:rPr>
        <w:t>1</w:t>
      </w:r>
      <w:r w:rsidR="002802F4">
        <w:rPr>
          <w:rFonts w:eastAsia="Times New Roman"/>
          <w:sz w:val="24"/>
          <w:szCs w:val="24"/>
        </w:rPr>
        <w:t>7</w:t>
      </w:r>
      <w:r w:rsidRPr="006A47FD">
        <w:rPr>
          <w:rFonts w:eastAsia="Times New Roman"/>
          <w:sz w:val="24"/>
          <w:szCs w:val="24"/>
        </w:rPr>
        <w:t xml:space="preserve">. A claim for bad faith breach of insurance contract is a tort and is, therefore, barred under section 13-80-102, C.R.S., unless brought within two years after the date on which both the injury and the cause of the injury are known or, through the exercise of reasonable diligence, should have been known. </w:t>
      </w:r>
      <w:r w:rsidRPr="006A47FD">
        <w:rPr>
          <w:rFonts w:eastAsia="Times New Roman"/>
          <w:b/>
          <w:sz w:val="24"/>
          <w:szCs w:val="24"/>
        </w:rPr>
        <w:t>Brodeur</w:t>
      </w:r>
      <w:r w:rsidRPr="006A47FD">
        <w:rPr>
          <w:rFonts w:eastAsia="Times New Roman"/>
          <w:sz w:val="24"/>
          <w:szCs w:val="24"/>
        </w:rPr>
        <w:t xml:space="preserve">, 169 P.3d at 147 &amp; n.8 (noting that “injury” and “damage” are not synonymous; damage flows from injury and need not be known before a claim can accrue); </w:t>
      </w:r>
      <w:r w:rsidRPr="006A47FD">
        <w:rPr>
          <w:rFonts w:eastAsia="Times New Roman"/>
          <w:i/>
          <w:sz w:val="24"/>
          <w:szCs w:val="24"/>
        </w:rPr>
        <w:t xml:space="preserve">see also </w:t>
      </w:r>
      <w:r w:rsidRPr="006A47FD">
        <w:rPr>
          <w:rFonts w:eastAsia="Times New Roman"/>
          <w:b/>
          <w:sz w:val="24"/>
          <w:szCs w:val="24"/>
        </w:rPr>
        <w:t>Olson v. State Farm Mut. Auto. Ins. Co.</w:t>
      </w:r>
      <w:r w:rsidRPr="006A47FD">
        <w:rPr>
          <w:rFonts w:eastAsia="Times New Roman"/>
          <w:sz w:val="24"/>
          <w:szCs w:val="24"/>
        </w:rPr>
        <w:t xml:space="preserve">, 174 P.3d 849 (Colo. App. 2007) (UM insurer has no quasi-fiduciary relationship to insured and has no duty to advise the insured when a statute of limitations will run); </w:t>
      </w:r>
      <w:r w:rsidRPr="006A47FD">
        <w:rPr>
          <w:rFonts w:eastAsia="Times New Roman"/>
          <w:b/>
          <w:sz w:val="24"/>
          <w:szCs w:val="24"/>
        </w:rPr>
        <w:t>Daugherty v. Allstate Ins. Co.</w:t>
      </w:r>
      <w:r w:rsidRPr="006A47FD">
        <w:rPr>
          <w:rFonts w:eastAsia="Times New Roman"/>
          <w:sz w:val="24"/>
          <w:szCs w:val="24"/>
        </w:rPr>
        <w:t xml:space="preserve">, 55 P.3d 224 (Colo. App. 2002) (duty to act in good faith and deal fairly with the insured is not triggered until some contractual duty imposed by the contract arises) (third-party case); </w:t>
      </w:r>
      <w:r w:rsidRPr="006A47FD">
        <w:rPr>
          <w:rFonts w:eastAsia="Times New Roman"/>
          <w:b/>
          <w:sz w:val="24"/>
          <w:szCs w:val="24"/>
        </w:rPr>
        <w:t>Harmon v. Fred S. James &amp; Co</w:t>
      </w:r>
      <w:r w:rsidRPr="006A47FD">
        <w:rPr>
          <w:rFonts w:eastAsia="Times New Roman"/>
          <w:sz w:val="24"/>
          <w:szCs w:val="24"/>
        </w:rPr>
        <w:t>., 899 P.2d 258 (Colo. App. 1994)</w:t>
      </w:r>
      <w:r w:rsidRPr="006A47FD">
        <w:rPr>
          <w:rFonts w:eastAsia="Times New Roman"/>
          <w:i/>
          <w:sz w:val="24"/>
          <w:szCs w:val="24"/>
        </w:rPr>
        <w:t>.</w:t>
      </w:r>
    </w:p>
    <w:p w14:paraId="0DC1816B" w14:textId="185E3619" w:rsidR="006A47FD" w:rsidRPr="006A47FD" w:rsidRDefault="006A47FD" w:rsidP="006A47FD">
      <w:pPr>
        <w:spacing w:after="240"/>
        <w:ind w:firstLine="720"/>
        <w:rPr>
          <w:rFonts w:eastAsia="Times New Roman"/>
          <w:sz w:val="24"/>
          <w:szCs w:val="24"/>
        </w:rPr>
      </w:pPr>
      <w:r w:rsidRPr="006A47FD">
        <w:rPr>
          <w:rFonts w:eastAsia="Times New Roman"/>
          <w:sz w:val="24"/>
          <w:szCs w:val="24"/>
        </w:rPr>
        <w:t>1</w:t>
      </w:r>
      <w:r w:rsidR="002802F4">
        <w:rPr>
          <w:rFonts w:eastAsia="Times New Roman"/>
          <w:sz w:val="24"/>
          <w:szCs w:val="24"/>
        </w:rPr>
        <w:t>8</w:t>
      </w:r>
      <w:r w:rsidRPr="006A47FD">
        <w:rPr>
          <w:rFonts w:eastAsia="Times New Roman"/>
          <w:sz w:val="24"/>
          <w:szCs w:val="24"/>
        </w:rPr>
        <w:t xml:space="preserve">. A bad faith claim in tort arising out of the handling of a workers’ compensation claim and a claim for remedies available under the Workers’ Compensation Act are separate and independent actions, and accrual of the tort claim is not dependent on final resolution of the workers’ compensation claim. </w:t>
      </w:r>
      <w:r w:rsidRPr="006A47FD">
        <w:rPr>
          <w:rFonts w:eastAsia="Times New Roman"/>
          <w:b/>
          <w:sz w:val="24"/>
          <w:szCs w:val="24"/>
        </w:rPr>
        <w:t>Brodeur</w:t>
      </w:r>
      <w:r w:rsidRPr="006A47FD">
        <w:rPr>
          <w:rFonts w:eastAsia="Times New Roman"/>
          <w:sz w:val="24"/>
          <w:szCs w:val="24"/>
        </w:rPr>
        <w:t>,</w:t>
      </w:r>
      <w:r w:rsidRPr="006A47FD">
        <w:rPr>
          <w:rFonts w:eastAsia="Times New Roman"/>
          <w:i/>
          <w:sz w:val="24"/>
          <w:szCs w:val="24"/>
        </w:rPr>
        <w:t xml:space="preserve"> </w:t>
      </w:r>
      <w:r w:rsidRPr="006A47FD">
        <w:rPr>
          <w:rFonts w:eastAsia="Times New Roman"/>
          <w:sz w:val="24"/>
          <w:szCs w:val="24"/>
        </w:rPr>
        <w:t xml:space="preserve">169 P.3d at 149 (affirming dismissal of bad faith claim as time-barred before final adjudication of independent administrative claim; accrual of tort claim was not equitably tolled by the workers’ compensation proceeding). </w:t>
      </w:r>
    </w:p>
    <w:p w14:paraId="538E9320" w14:textId="714E2815" w:rsidR="006A47FD" w:rsidRPr="006A47FD" w:rsidRDefault="006A47FD" w:rsidP="006A47FD">
      <w:pPr>
        <w:spacing w:after="240"/>
        <w:ind w:firstLine="720"/>
        <w:rPr>
          <w:rFonts w:eastAsia="Times New Roman"/>
          <w:sz w:val="24"/>
          <w:szCs w:val="24"/>
        </w:rPr>
      </w:pPr>
      <w:r w:rsidRPr="006A47FD">
        <w:rPr>
          <w:rFonts w:eastAsia="Times New Roman"/>
          <w:sz w:val="24"/>
          <w:szCs w:val="24"/>
        </w:rPr>
        <w:t>1</w:t>
      </w:r>
      <w:r w:rsidR="002802F4">
        <w:rPr>
          <w:rFonts w:eastAsia="Times New Roman"/>
          <w:sz w:val="24"/>
          <w:szCs w:val="24"/>
        </w:rPr>
        <w:t>9</w:t>
      </w:r>
      <w:r w:rsidRPr="006A47FD">
        <w:rPr>
          <w:rFonts w:eastAsia="Times New Roman"/>
          <w:sz w:val="24"/>
          <w:szCs w:val="24"/>
        </w:rPr>
        <w:t xml:space="preserve">. A tort claim for bad faith breach of insurance contract does not arise under the contract of insurance, and therefore, such a claim is not subject to time limits for filing suit that </w:t>
      </w:r>
      <w:r w:rsidRPr="006A47FD">
        <w:rPr>
          <w:rFonts w:eastAsia="Times New Roman"/>
          <w:sz w:val="24"/>
          <w:szCs w:val="24"/>
        </w:rPr>
        <w:lastRenderedPageBreak/>
        <w:t xml:space="preserve">are contained in the policy. </w:t>
      </w:r>
      <w:r w:rsidRPr="006A47FD">
        <w:rPr>
          <w:rFonts w:eastAsia="Times New Roman"/>
          <w:b/>
          <w:sz w:val="24"/>
          <w:szCs w:val="24"/>
        </w:rPr>
        <w:t>Dupre v. Allstate Ins. Co.</w:t>
      </w:r>
      <w:r w:rsidRPr="006A47FD">
        <w:rPr>
          <w:rFonts w:eastAsia="Times New Roman"/>
          <w:sz w:val="24"/>
          <w:szCs w:val="24"/>
        </w:rPr>
        <w:t xml:space="preserve">, 62 P.3d 1024 (Colo. App. 2002); </w:t>
      </w:r>
      <w:r w:rsidRPr="006A47FD">
        <w:rPr>
          <w:rFonts w:eastAsia="Times New Roman"/>
          <w:b/>
          <w:sz w:val="24"/>
          <w:szCs w:val="24"/>
        </w:rPr>
        <w:t>Daugherty</w:t>
      </w:r>
      <w:r w:rsidRPr="006A47FD">
        <w:rPr>
          <w:rFonts w:eastAsia="Times New Roman"/>
          <w:sz w:val="24"/>
          <w:szCs w:val="24"/>
        </w:rPr>
        <w:t xml:space="preserve">, 55 P.3d at 228; </w:t>
      </w:r>
      <w:r w:rsidRPr="006A47FD">
        <w:rPr>
          <w:rFonts w:eastAsia="Times New Roman"/>
          <w:b/>
          <w:sz w:val="24"/>
          <w:szCs w:val="24"/>
        </w:rPr>
        <w:t>Emenyonu v. State Farm Fire &amp; Cas. Co.</w:t>
      </w:r>
      <w:r w:rsidRPr="006A47FD">
        <w:rPr>
          <w:rFonts w:eastAsia="Times New Roman"/>
          <w:sz w:val="24"/>
          <w:szCs w:val="24"/>
        </w:rPr>
        <w:t xml:space="preserve">, 885 P.2d 320 (Colo. App. 1994); </w:t>
      </w:r>
      <w:r w:rsidRPr="006A47FD">
        <w:rPr>
          <w:rFonts w:eastAsia="Times New Roman"/>
          <w:b/>
          <w:sz w:val="24"/>
          <w:szCs w:val="24"/>
        </w:rPr>
        <w:t>Flickinger v. Ninth Dist. Prod. Credit Ass’n</w:t>
      </w:r>
      <w:r w:rsidRPr="006A47FD">
        <w:rPr>
          <w:rFonts w:eastAsia="Times New Roman"/>
          <w:sz w:val="24"/>
          <w:szCs w:val="24"/>
        </w:rPr>
        <w:t xml:space="preserve">, 824 P.2d 19 (Colo. App. 1991); </w:t>
      </w:r>
      <w:r w:rsidRPr="006A47FD">
        <w:rPr>
          <w:rFonts w:eastAsia="Times New Roman"/>
          <w:b/>
          <w:sz w:val="24"/>
          <w:szCs w:val="24"/>
        </w:rPr>
        <w:t>Coleman v. United Fire &amp; Cas. Co.</w:t>
      </w:r>
      <w:r w:rsidRPr="006A47FD">
        <w:rPr>
          <w:rFonts w:eastAsia="Times New Roman"/>
          <w:sz w:val="24"/>
          <w:szCs w:val="24"/>
        </w:rPr>
        <w:t>, 767 P.2d 761 (Colo. App. 1988).</w:t>
      </w:r>
    </w:p>
    <w:p w14:paraId="02D77F3C" w14:textId="566801D1" w:rsidR="00434650" w:rsidRDefault="002802F4" w:rsidP="006A47FD">
      <w:pPr>
        <w:spacing w:after="240"/>
        <w:ind w:firstLine="720"/>
        <w:rPr>
          <w:rFonts w:eastAsia="Times New Roman"/>
          <w:sz w:val="24"/>
          <w:szCs w:val="24"/>
        </w:rPr>
      </w:pPr>
      <w:r>
        <w:rPr>
          <w:rFonts w:eastAsia="Times New Roman"/>
          <w:sz w:val="24"/>
          <w:szCs w:val="24"/>
        </w:rPr>
        <w:t>20</w:t>
      </w:r>
      <w:r w:rsidR="006A47FD" w:rsidRPr="006A47FD">
        <w:rPr>
          <w:rFonts w:eastAsia="Times New Roman"/>
          <w:sz w:val="24"/>
          <w:szCs w:val="24"/>
        </w:rPr>
        <w:t xml:space="preserve">. </w:t>
      </w:r>
      <w:r w:rsidR="0052608C" w:rsidRPr="0052608C">
        <w:rPr>
          <w:rFonts w:eastAsia="Times New Roman"/>
          <w:sz w:val="24"/>
          <w:szCs w:val="24"/>
        </w:rPr>
        <w:t>Unlike arbitration, participation in a policy appraisal process to determine value of a property loss does not entitle either the insured or the insurer to a judgment or immunize the insurer from bad faith claims</w:t>
      </w:r>
      <w:r w:rsidR="00434650" w:rsidRPr="00434650">
        <w:rPr>
          <w:rFonts w:eastAsia="Times New Roman"/>
          <w:sz w:val="24"/>
          <w:szCs w:val="24"/>
        </w:rPr>
        <w:t>.</w:t>
      </w:r>
      <w:r w:rsidR="00434650">
        <w:rPr>
          <w:rFonts w:eastAsia="Times New Roman"/>
          <w:sz w:val="24"/>
          <w:szCs w:val="24"/>
        </w:rPr>
        <w:t xml:space="preserve"> </w:t>
      </w:r>
      <w:r w:rsidR="00434650" w:rsidRPr="0052608C">
        <w:rPr>
          <w:rFonts w:eastAsia="Times New Roman"/>
          <w:b/>
          <w:color w:val="000000"/>
          <w:sz w:val="24"/>
          <w:szCs w:val="24"/>
        </w:rPr>
        <w:t>Andres Trucking Co. v. United Fire &amp; Cas. Co.</w:t>
      </w:r>
      <w:r w:rsidR="00434650">
        <w:rPr>
          <w:rFonts w:eastAsia="Times New Roman"/>
          <w:color w:val="000000"/>
          <w:sz w:val="24"/>
          <w:szCs w:val="24"/>
        </w:rPr>
        <w:t>, 2018 COA 144, ¶¶ 17-25</w:t>
      </w:r>
      <w:r w:rsidR="00FD0662">
        <w:rPr>
          <w:rFonts w:eastAsia="Times New Roman"/>
          <w:color w:val="000000"/>
          <w:sz w:val="24"/>
          <w:szCs w:val="24"/>
        </w:rPr>
        <w:t>, 488 P.3d 425</w:t>
      </w:r>
      <w:r w:rsidR="0052608C" w:rsidRPr="0052608C">
        <w:t xml:space="preserve"> </w:t>
      </w:r>
      <w:r w:rsidR="0052608C" w:rsidRPr="0052608C">
        <w:rPr>
          <w:rFonts w:eastAsia="Times New Roman"/>
          <w:color w:val="000000"/>
          <w:sz w:val="24"/>
          <w:szCs w:val="24"/>
        </w:rPr>
        <w:t>(affirming finding that the appraisal award was final but reversing judgment for insurer on insured’s breach and statutory bad faith claims related to property loss)</w:t>
      </w:r>
      <w:r w:rsidR="00434650" w:rsidRPr="00434650">
        <w:rPr>
          <w:rFonts w:eastAsia="Times New Roman"/>
          <w:sz w:val="24"/>
          <w:szCs w:val="24"/>
        </w:rPr>
        <w:t>.</w:t>
      </w:r>
    </w:p>
    <w:p w14:paraId="1FAF27BD" w14:textId="6F1AA60F" w:rsidR="006A47FD" w:rsidRPr="006A47FD" w:rsidRDefault="002802F4" w:rsidP="006A47FD">
      <w:pPr>
        <w:spacing w:after="240"/>
        <w:ind w:firstLine="720"/>
        <w:rPr>
          <w:rFonts w:eastAsia="Times New Roman"/>
          <w:sz w:val="24"/>
          <w:szCs w:val="24"/>
        </w:rPr>
      </w:pPr>
      <w:r>
        <w:rPr>
          <w:rFonts w:eastAsia="Times New Roman"/>
          <w:sz w:val="24"/>
          <w:szCs w:val="24"/>
        </w:rPr>
        <w:t>21</w:t>
      </w:r>
      <w:r w:rsidR="00434650">
        <w:rPr>
          <w:rFonts w:eastAsia="Times New Roman"/>
          <w:sz w:val="24"/>
          <w:szCs w:val="24"/>
        </w:rPr>
        <w:t xml:space="preserve">. </w:t>
      </w:r>
      <w:r w:rsidR="006A47FD" w:rsidRPr="006A47FD">
        <w:rPr>
          <w:rFonts w:eastAsia="Times New Roman"/>
          <w:sz w:val="24"/>
          <w:szCs w:val="24"/>
        </w:rPr>
        <w:t xml:space="preserve">An arbitration panel’s finding that an insurer’s refusal to pay insurance benefits was not willful and wanton does not preclude the tort claim of bad faith when the latter is based upon additional evidence of misconduct that could not have been presented to the panel. </w:t>
      </w:r>
      <w:r w:rsidR="006A47FD" w:rsidRPr="006A47FD">
        <w:rPr>
          <w:rFonts w:eastAsia="Times New Roman"/>
          <w:b/>
          <w:sz w:val="24"/>
          <w:szCs w:val="24"/>
        </w:rPr>
        <w:t>Dale v. Guar. Nat’l Ins. Co.</w:t>
      </w:r>
      <w:r w:rsidR="006A47FD" w:rsidRPr="006A47FD">
        <w:rPr>
          <w:rFonts w:eastAsia="Times New Roman"/>
          <w:sz w:val="24"/>
          <w:szCs w:val="24"/>
        </w:rPr>
        <w:t xml:space="preserve">, 948 P.2d 545 (Colo. 1997) (overruling </w:t>
      </w:r>
      <w:r w:rsidR="006A47FD" w:rsidRPr="006A47FD">
        <w:rPr>
          <w:rFonts w:eastAsia="Times New Roman"/>
          <w:b/>
          <w:sz w:val="24"/>
          <w:szCs w:val="24"/>
        </w:rPr>
        <w:t>Leahy v. Guar. Nat’l Ins. Co.</w:t>
      </w:r>
      <w:r w:rsidR="006A47FD" w:rsidRPr="006A47FD">
        <w:rPr>
          <w:rFonts w:eastAsia="Times New Roman"/>
          <w:sz w:val="24"/>
          <w:szCs w:val="24"/>
        </w:rPr>
        <w:t xml:space="preserve">, 907 P.2d 697 (Colo. App. 1995)). However, if the separate claims are based on the same conduct and evidence of that conduct was available for presentation at the time of arbitration, a panel’s determination that there was no willful and wanton conduct may preclude a tort claim for bad faith if all collateral estoppel elements are proven. </w:t>
      </w:r>
      <w:r w:rsidR="006A47FD" w:rsidRPr="006A47FD">
        <w:rPr>
          <w:rFonts w:eastAsia="Times New Roman"/>
          <w:b/>
          <w:sz w:val="24"/>
          <w:szCs w:val="24"/>
        </w:rPr>
        <w:t>Guar. Nat’l Ins. Co. v. Williams</w:t>
      </w:r>
      <w:r w:rsidR="006A47FD" w:rsidRPr="006A47FD">
        <w:rPr>
          <w:rFonts w:eastAsia="Times New Roman"/>
          <w:sz w:val="24"/>
          <w:szCs w:val="24"/>
        </w:rPr>
        <w:t>, 982 P.2d 306 (Colo. 1999).</w:t>
      </w:r>
    </w:p>
    <w:p w14:paraId="1D9453D5" w14:textId="6C61864E" w:rsidR="006A47FD" w:rsidRPr="006A47FD" w:rsidRDefault="00434650" w:rsidP="006A47FD">
      <w:pPr>
        <w:spacing w:after="240"/>
        <w:ind w:firstLine="720"/>
        <w:rPr>
          <w:rFonts w:eastAsia="Times New Roman"/>
          <w:sz w:val="24"/>
          <w:szCs w:val="24"/>
        </w:rPr>
      </w:pPr>
      <w:r>
        <w:rPr>
          <w:rFonts w:eastAsia="Times New Roman"/>
          <w:sz w:val="24"/>
          <w:szCs w:val="24"/>
        </w:rPr>
        <w:t>2</w:t>
      </w:r>
      <w:r w:rsidR="002802F4">
        <w:rPr>
          <w:rFonts w:eastAsia="Times New Roman"/>
          <w:sz w:val="24"/>
          <w:szCs w:val="24"/>
        </w:rPr>
        <w:t>2</w:t>
      </w:r>
      <w:r w:rsidR="006A47FD" w:rsidRPr="006A47FD">
        <w:rPr>
          <w:rFonts w:eastAsia="Times New Roman"/>
          <w:sz w:val="24"/>
          <w:szCs w:val="24"/>
        </w:rPr>
        <w:t xml:space="preserve">. The post-litigation conduct of an insurer in prosecuting or defending claims involving its insured may or may not be admissible at trial as evidence of bad faith. In </w:t>
      </w:r>
      <w:r w:rsidR="006A47FD" w:rsidRPr="006A47FD">
        <w:rPr>
          <w:rFonts w:eastAsia="Times New Roman"/>
          <w:b/>
          <w:sz w:val="24"/>
          <w:szCs w:val="24"/>
        </w:rPr>
        <w:t>American Family Insurance Co. v. Bowser</w:t>
      </w:r>
      <w:r w:rsidR="006A47FD" w:rsidRPr="006A47FD">
        <w:rPr>
          <w:rFonts w:eastAsia="Times New Roman"/>
          <w:sz w:val="24"/>
          <w:szCs w:val="24"/>
        </w:rPr>
        <w:t xml:space="preserve">, 779 P.2d 1376 (Colo. App. 1989), the court of appeals observed that denial of a claim by filing a declaratory judgment action against an insured without an adequate investigation may constitute bad faith. In </w:t>
      </w:r>
      <w:r w:rsidR="006A47FD" w:rsidRPr="006A47FD">
        <w:rPr>
          <w:rFonts w:eastAsia="Times New Roman"/>
          <w:b/>
          <w:sz w:val="24"/>
          <w:szCs w:val="24"/>
        </w:rPr>
        <w:t>Tozer v. Scott Wetzel Services, Inc.</w:t>
      </w:r>
      <w:r w:rsidR="006A47FD" w:rsidRPr="006A47FD">
        <w:rPr>
          <w:rFonts w:eastAsia="Times New Roman"/>
          <w:sz w:val="24"/>
          <w:szCs w:val="24"/>
        </w:rPr>
        <w:t xml:space="preserve">, 883 P.2d 496 (Colo. App. 1994), the court held that the reasonableness of an insurer’s decision to appeal an administrative law judge’s decision presented an issue for the trial court to determine. </w:t>
      </w:r>
      <w:r w:rsidR="006A47FD" w:rsidRPr="006A47FD">
        <w:rPr>
          <w:rFonts w:eastAsia="Times New Roman"/>
          <w:i/>
          <w:sz w:val="24"/>
          <w:szCs w:val="24"/>
        </w:rPr>
        <w:t xml:space="preserve">See also </w:t>
      </w:r>
      <w:r w:rsidR="006A47FD" w:rsidRPr="006A47FD">
        <w:rPr>
          <w:rFonts w:eastAsia="Times New Roman"/>
          <w:b/>
          <w:sz w:val="24"/>
          <w:szCs w:val="24"/>
        </w:rPr>
        <w:t>Jimenez v. Indus. Claim Appeals Office</w:t>
      </w:r>
      <w:r w:rsidR="006A47FD" w:rsidRPr="006A47FD">
        <w:rPr>
          <w:rFonts w:eastAsia="Times New Roman"/>
          <w:sz w:val="24"/>
          <w:szCs w:val="24"/>
        </w:rPr>
        <w:t xml:space="preserve">, 107 P.3d 965 (Colo. App. 2003) (record supported ALJ’s finding that a failure to brief benefits issue was not necessarily indicative of bad faith appeal); </w:t>
      </w:r>
      <w:r w:rsidR="006A47FD" w:rsidRPr="006A47FD">
        <w:rPr>
          <w:rFonts w:eastAsia="Times New Roman"/>
          <w:i/>
          <w:sz w:val="24"/>
          <w:szCs w:val="24"/>
        </w:rPr>
        <w:t>cf.</w:t>
      </w:r>
      <w:r w:rsidR="006A47FD" w:rsidRPr="006A47FD">
        <w:rPr>
          <w:rFonts w:eastAsia="Times New Roman"/>
          <w:sz w:val="24"/>
          <w:szCs w:val="24"/>
        </w:rPr>
        <w:t xml:space="preserve"> </w:t>
      </w:r>
      <w:r w:rsidR="006A47FD" w:rsidRPr="006A47FD">
        <w:rPr>
          <w:rFonts w:eastAsia="Times New Roman"/>
          <w:b/>
          <w:sz w:val="24"/>
          <w:szCs w:val="24"/>
        </w:rPr>
        <w:t>Brandon v. Sterling Colo. Beef Co.</w:t>
      </w:r>
      <w:r w:rsidR="006A47FD" w:rsidRPr="006A47FD">
        <w:rPr>
          <w:rFonts w:eastAsia="Times New Roman"/>
          <w:sz w:val="24"/>
          <w:szCs w:val="24"/>
        </w:rPr>
        <w:t xml:space="preserve">, 827 P.2d 559 (Colo. App. 1991) (expert opinion testimony that an ALJ’s decision would be difficult to challenge successfully on appeal held insufficient to show that insurer’s decision to appeal was bad faith). A division of the court of appeals confined </w:t>
      </w:r>
      <w:r w:rsidR="006A47FD" w:rsidRPr="006A47FD">
        <w:rPr>
          <w:rFonts w:eastAsia="Times New Roman"/>
          <w:b/>
          <w:sz w:val="24"/>
          <w:szCs w:val="24"/>
        </w:rPr>
        <w:t>Tozer</w:t>
      </w:r>
      <w:r w:rsidR="006A47FD" w:rsidRPr="006A47FD">
        <w:rPr>
          <w:rFonts w:eastAsia="Times New Roman"/>
          <w:sz w:val="24"/>
          <w:szCs w:val="24"/>
        </w:rPr>
        <w:t xml:space="preserve"> to its workers’ compensation context and held that the “lack of substantial justification” standard set forth in the attorney fees statute, §§ 13-17-101 to -106, C.R.S., unduly limits the definition of “unreasonableness” for purposes of insurance bad faith. </w:t>
      </w:r>
      <w:r w:rsidR="006A47FD" w:rsidRPr="006A47FD">
        <w:rPr>
          <w:rFonts w:eastAsia="Times New Roman"/>
          <w:b/>
          <w:sz w:val="24"/>
          <w:szCs w:val="24"/>
        </w:rPr>
        <w:t>Am. Guar. &amp; Liab. Co. v. King</w:t>
      </w:r>
      <w:r w:rsidR="006A47FD" w:rsidRPr="006A47FD">
        <w:rPr>
          <w:rFonts w:eastAsia="Times New Roman"/>
          <w:sz w:val="24"/>
          <w:szCs w:val="24"/>
        </w:rPr>
        <w:t>,</w:t>
      </w:r>
      <w:r w:rsidR="006A47FD" w:rsidRPr="006A47FD">
        <w:rPr>
          <w:rFonts w:eastAsia="Times New Roman"/>
          <w:b/>
          <w:sz w:val="24"/>
          <w:szCs w:val="24"/>
        </w:rPr>
        <w:t xml:space="preserve"> </w:t>
      </w:r>
      <w:r w:rsidR="006A47FD" w:rsidRPr="006A47FD">
        <w:rPr>
          <w:rFonts w:eastAsia="Times New Roman"/>
          <w:sz w:val="24"/>
          <w:szCs w:val="24"/>
        </w:rPr>
        <w:t>97 P.3d 161, 168 (Colo. App. 2003) (affirming trial court’s finding of bad faith against workers’ compensation insurer for its maintenance of subrogation claim against injured worker to recover money he received in settlement of medical malpractice case).</w:t>
      </w:r>
    </w:p>
    <w:p w14:paraId="5E60C182" w14:textId="746A5E16" w:rsidR="006A47FD" w:rsidRPr="006A47FD" w:rsidRDefault="0007116C" w:rsidP="006A47FD">
      <w:pPr>
        <w:spacing w:after="240"/>
        <w:ind w:firstLine="720"/>
        <w:rPr>
          <w:rFonts w:eastAsia="Times New Roman"/>
          <w:sz w:val="24"/>
          <w:szCs w:val="24"/>
        </w:rPr>
      </w:pPr>
      <w:r>
        <w:rPr>
          <w:rFonts w:eastAsia="Times New Roman"/>
          <w:sz w:val="24"/>
          <w:szCs w:val="24"/>
        </w:rPr>
        <w:t>2</w:t>
      </w:r>
      <w:r w:rsidR="002802F4">
        <w:rPr>
          <w:rFonts w:eastAsia="Times New Roman"/>
          <w:sz w:val="24"/>
          <w:szCs w:val="24"/>
        </w:rPr>
        <w:t>3</w:t>
      </w:r>
      <w:r w:rsidR="006A47FD" w:rsidRPr="006A47FD">
        <w:rPr>
          <w:rFonts w:eastAsia="Times New Roman"/>
          <w:sz w:val="24"/>
          <w:szCs w:val="24"/>
        </w:rPr>
        <w:t xml:space="preserve">. An insurer’s post-litigation conduct may be considered by the court in post-trial proceedings for purposes of determining whether an award of punitive damages should be modified. </w:t>
      </w:r>
      <w:r w:rsidR="006A47FD" w:rsidRPr="006A47FD">
        <w:rPr>
          <w:rFonts w:eastAsia="Times New Roman"/>
          <w:i/>
          <w:sz w:val="24"/>
          <w:szCs w:val="24"/>
        </w:rPr>
        <w:t>See</w:t>
      </w:r>
      <w:r w:rsidR="006A47FD" w:rsidRPr="006A47FD">
        <w:rPr>
          <w:rFonts w:eastAsia="Times New Roman"/>
          <w:sz w:val="24"/>
          <w:szCs w:val="24"/>
        </w:rPr>
        <w:t xml:space="preserve"> </w:t>
      </w:r>
      <w:r w:rsidR="006A47FD" w:rsidRPr="006A47FD">
        <w:rPr>
          <w:rFonts w:eastAsia="Times New Roman"/>
          <w:b/>
          <w:sz w:val="24"/>
          <w:szCs w:val="24"/>
        </w:rPr>
        <w:t>Coors v. Sec. Life of Denver Ins. Co.</w:t>
      </w:r>
      <w:r w:rsidR="006A47FD" w:rsidRPr="006A47FD">
        <w:rPr>
          <w:rFonts w:eastAsia="Times New Roman"/>
          <w:sz w:val="24"/>
          <w:szCs w:val="24"/>
        </w:rPr>
        <w:t xml:space="preserve">, 112 P.3d 59 (Colo. 2005) (authorizing trebling of punitive damages award based on defendant’s behavior during pendency of case); </w:t>
      </w:r>
      <w:r w:rsidR="006A47FD" w:rsidRPr="006A47FD">
        <w:rPr>
          <w:rFonts w:eastAsia="Times New Roman"/>
          <w:b/>
          <w:sz w:val="24"/>
          <w:szCs w:val="24"/>
        </w:rPr>
        <w:t>Tait v. Hartford Underwriters Ins. Co.</w:t>
      </w:r>
      <w:r w:rsidR="006A47FD" w:rsidRPr="006A47FD">
        <w:rPr>
          <w:rFonts w:eastAsia="Times New Roman"/>
          <w:sz w:val="24"/>
          <w:szCs w:val="24"/>
        </w:rPr>
        <w:t>,</w:t>
      </w:r>
      <w:r w:rsidR="006A47FD" w:rsidRPr="006A47FD">
        <w:rPr>
          <w:rFonts w:eastAsia="Times New Roman"/>
          <w:b/>
          <w:sz w:val="24"/>
          <w:szCs w:val="24"/>
        </w:rPr>
        <w:t xml:space="preserve"> </w:t>
      </w:r>
      <w:r w:rsidR="006A47FD" w:rsidRPr="006A47FD">
        <w:rPr>
          <w:rFonts w:eastAsia="Times New Roman"/>
          <w:sz w:val="24"/>
          <w:szCs w:val="24"/>
        </w:rPr>
        <w:t>49 P.3d 337 (Colo. App. 2001) (affirming trial court’s increase of punitive damage award based on insurer’s litigation conduct).</w:t>
      </w:r>
    </w:p>
    <w:p w14:paraId="40EC7BBB" w14:textId="2FA866A8" w:rsidR="006A47FD" w:rsidRPr="006A47FD" w:rsidRDefault="006A47FD" w:rsidP="006A47FD">
      <w:pPr>
        <w:spacing w:after="240"/>
        <w:ind w:firstLine="720"/>
        <w:rPr>
          <w:rFonts w:eastAsia="Times New Roman"/>
          <w:sz w:val="24"/>
          <w:szCs w:val="24"/>
        </w:rPr>
      </w:pPr>
      <w:r w:rsidRPr="006A47FD">
        <w:rPr>
          <w:rFonts w:eastAsia="Times New Roman"/>
          <w:sz w:val="24"/>
          <w:szCs w:val="24"/>
        </w:rPr>
        <w:lastRenderedPageBreak/>
        <w:t>2</w:t>
      </w:r>
      <w:r w:rsidR="002802F4">
        <w:rPr>
          <w:rFonts w:eastAsia="Times New Roman"/>
          <w:sz w:val="24"/>
          <w:szCs w:val="24"/>
        </w:rPr>
        <w:t>4</w:t>
      </w:r>
      <w:r w:rsidRPr="006A47FD">
        <w:rPr>
          <w:rFonts w:eastAsia="Times New Roman"/>
          <w:sz w:val="24"/>
          <w:szCs w:val="24"/>
        </w:rPr>
        <w:t xml:space="preserve">. An insured cannot recover for bad faith breach of insurance contract if the insurance company has grounds to rescind the contract on the basis of the insured’s fraudulent misrepresentations on the application for insurance. </w:t>
      </w:r>
      <w:r w:rsidRPr="006A47FD">
        <w:rPr>
          <w:rFonts w:eastAsia="Times New Roman"/>
          <w:b/>
          <w:sz w:val="24"/>
          <w:szCs w:val="24"/>
        </w:rPr>
        <w:t>Abdelsamed v. N.Y. Life Ins. Co.</w:t>
      </w:r>
      <w:r w:rsidRPr="006A47FD">
        <w:rPr>
          <w:rFonts w:eastAsia="Times New Roman"/>
          <w:sz w:val="24"/>
          <w:szCs w:val="24"/>
        </w:rPr>
        <w:t xml:space="preserve">, 857 P.2d 421 (Colo. App. 1992), </w:t>
      </w:r>
      <w:r w:rsidRPr="006A47FD">
        <w:rPr>
          <w:rFonts w:eastAsia="Times New Roman"/>
          <w:i/>
          <w:sz w:val="24"/>
          <w:szCs w:val="24"/>
        </w:rPr>
        <w:t>rev’d on other grounds sub nom.</w:t>
      </w:r>
      <w:r w:rsidRPr="006A47FD">
        <w:rPr>
          <w:rFonts w:eastAsia="Times New Roman"/>
          <w:sz w:val="24"/>
          <w:szCs w:val="24"/>
        </w:rPr>
        <w:t xml:space="preserve"> </w:t>
      </w:r>
      <w:r w:rsidRPr="006A47FD">
        <w:rPr>
          <w:rFonts w:eastAsia="Times New Roman"/>
          <w:b/>
          <w:sz w:val="24"/>
          <w:szCs w:val="24"/>
        </w:rPr>
        <w:t>Hock v. N.Y. Life Ins. Co.</w:t>
      </w:r>
      <w:r w:rsidRPr="006A47FD">
        <w:rPr>
          <w:rFonts w:eastAsia="Times New Roman"/>
          <w:sz w:val="24"/>
          <w:szCs w:val="24"/>
        </w:rPr>
        <w:t>,</w:t>
      </w:r>
      <w:r w:rsidRPr="006A47FD">
        <w:rPr>
          <w:rFonts w:eastAsia="Times New Roman"/>
          <w:b/>
          <w:sz w:val="24"/>
          <w:szCs w:val="24"/>
        </w:rPr>
        <w:t xml:space="preserve"> </w:t>
      </w:r>
      <w:r w:rsidRPr="006A47FD">
        <w:rPr>
          <w:rFonts w:eastAsia="Times New Roman"/>
          <w:sz w:val="24"/>
          <w:szCs w:val="24"/>
        </w:rPr>
        <w:t>876 P.2d 1242 (Colo. 1994).</w:t>
      </w:r>
    </w:p>
    <w:p w14:paraId="4B53972A" w14:textId="6A770DD3" w:rsidR="006A47FD" w:rsidRPr="006A47FD" w:rsidRDefault="006A47FD" w:rsidP="006A47FD">
      <w:pPr>
        <w:spacing w:after="240"/>
        <w:ind w:firstLine="720"/>
        <w:rPr>
          <w:rFonts w:eastAsia="Times New Roman"/>
          <w:sz w:val="24"/>
          <w:szCs w:val="24"/>
        </w:rPr>
      </w:pPr>
      <w:r w:rsidRPr="006A47FD">
        <w:rPr>
          <w:rFonts w:eastAsia="Times New Roman"/>
          <w:sz w:val="24"/>
          <w:szCs w:val="24"/>
        </w:rPr>
        <w:t>2</w:t>
      </w:r>
      <w:r w:rsidR="002802F4">
        <w:rPr>
          <w:rFonts w:eastAsia="Times New Roman"/>
          <w:sz w:val="24"/>
          <w:szCs w:val="24"/>
        </w:rPr>
        <w:t>5</w:t>
      </w:r>
      <w:r w:rsidRPr="006A47FD">
        <w:rPr>
          <w:rFonts w:eastAsia="Times New Roman"/>
          <w:sz w:val="24"/>
          <w:szCs w:val="24"/>
        </w:rPr>
        <w:t xml:space="preserve">. An insured’s failure to submit to a medical examination requested by the insurer, as required by the policy, does not preclude liability of the insurer for bad faith breach of insurance based on conduct that occurred before that request. </w:t>
      </w:r>
      <w:r w:rsidRPr="006A47FD">
        <w:rPr>
          <w:rFonts w:eastAsia="Times New Roman"/>
          <w:b/>
          <w:sz w:val="24"/>
          <w:szCs w:val="24"/>
        </w:rPr>
        <w:t>Hansen v. State Farm Mut. Auto. Ins. Co.</w:t>
      </w:r>
      <w:r w:rsidRPr="006A47FD">
        <w:rPr>
          <w:rFonts w:eastAsia="Times New Roman"/>
          <w:sz w:val="24"/>
          <w:szCs w:val="24"/>
        </w:rPr>
        <w:t xml:space="preserve">, 936 P.2d 584 (Colo. App. 1996), </w:t>
      </w:r>
      <w:r w:rsidRPr="006A47FD">
        <w:rPr>
          <w:rFonts w:eastAsia="Times New Roman"/>
          <w:i/>
          <w:sz w:val="24"/>
          <w:szCs w:val="24"/>
        </w:rPr>
        <w:t>rev’d on other grounds</w:t>
      </w:r>
      <w:r w:rsidRPr="006A47FD">
        <w:rPr>
          <w:rFonts w:eastAsia="Times New Roman"/>
          <w:sz w:val="24"/>
          <w:szCs w:val="24"/>
        </w:rPr>
        <w:t>, 957 P.2d 1380 (Colo. 1998).</w:t>
      </w:r>
    </w:p>
    <w:p w14:paraId="60DB051E" w14:textId="745A4CD6" w:rsidR="006A47FD" w:rsidRPr="006A47FD" w:rsidRDefault="006A47FD" w:rsidP="006A47FD">
      <w:pPr>
        <w:spacing w:after="240"/>
        <w:ind w:firstLine="720"/>
        <w:rPr>
          <w:rFonts w:eastAsia="Times New Roman"/>
          <w:sz w:val="24"/>
          <w:szCs w:val="24"/>
        </w:rPr>
      </w:pPr>
      <w:r w:rsidRPr="006A47FD">
        <w:rPr>
          <w:rFonts w:eastAsia="Times New Roman"/>
          <w:sz w:val="24"/>
          <w:szCs w:val="24"/>
        </w:rPr>
        <w:t>2</w:t>
      </w:r>
      <w:r w:rsidR="002802F4">
        <w:rPr>
          <w:rFonts w:eastAsia="Times New Roman"/>
          <w:sz w:val="24"/>
          <w:szCs w:val="24"/>
        </w:rPr>
        <w:t>6</w:t>
      </w:r>
      <w:r w:rsidRPr="006A47FD">
        <w:rPr>
          <w:rFonts w:eastAsia="Times New Roman"/>
          <w:sz w:val="24"/>
          <w:szCs w:val="24"/>
        </w:rPr>
        <w:t xml:space="preserve">. “[T]he duty of good faith owed by the insurer to the insured requires that it not act to prevent the occurrence of conditions to its performance.” </w:t>
      </w:r>
      <w:r w:rsidRPr="006A47FD">
        <w:rPr>
          <w:rFonts w:eastAsia="Times New Roman"/>
          <w:b/>
          <w:sz w:val="24"/>
          <w:szCs w:val="24"/>
        </w:rPr>
        <w:t>Dupre v. Allstate Ins. Co.</w:t>
      </w:r>
      <w:r w:rsidRPr="006A47FD">
        <w:rPr>
          <w:rFonts w:eastAsia="Times New Roman"/>
          <w:sz w:val="24"/>
          <w:szCs w:val="24"/>
        </w:rPr>
        <w:t>,</w:t>
      </w:r>
      <w:r w:rsidRPr="006A47FD">
        <w:rPr>
          <w:rFonts w:eastAsia="Times New Roman"/>
          <w:b/>
          <w:sz w:val="24"/>
          <w:szCs w:val="24"/>
        </w:rPr>
        <w:t xml:space="preserve"> </w:t>
      </w:r>
      <w:r w:rsidRPr="006A47FD">
        <w:rPr>
          <w:rFonts w:eastAsia="Times New Roman"/>
          <w:sz w:val="24"/>
          <w:szCs w:val="24"/>
        </w:rPr>
        <w:t>62 P.3d 1024, 1028 (Colo. App. 2002) (summary judgment for insurer reversed where issue existed as to whether insurer was equitably estopped from relying on insured’s failure to fulfill a condition as defense to claim).</w:t>
      </w:r>
    </w:p>
    <w:p w14:paraId="4D602817" w14:textId="4742B13E" w:rsidR="006A47FD" w:rsidRPr="006A47FD" w:rsidRDefault="006A47FD" w:rsidP="006A47FD">
      <w:pPr>
        <w:spacing w:after="240"/>
        <w:ind w:firstLine="720"/>
        <w:rPr>
          <w:rFonts w:eastAsia="Times New Roman"/>
          <w:sz w:val="24"/>
          <w:szCs w:val="24"/>
        </w:rPr>
      </w:pPr>
      <w:r w:rsidRPr="006A47FD">
        <w:rPr>
          <w:rFonts w:eastAsia="Times New Roman"/>
          <w:sz w:val="24"/>
          <w:szCs w:val="24"/>
        </w:rPr>
        <w:t>2</w:t>
      </w:r>
      <w:r w:rsidR="002802F4">
        <w:rPr>
          <w:rFonts w:eastAsia="Times New Roman"/>
          <w:sz w:val="24"/>
          <w:szCs w:val="24"/>
        </w:rPr>
        <w:t>7</w:t>
      </w:r>
      <w:r w:rsidRPr="006A47FD">
        <w:rPr>
          <w:rFonts w:eastAsia="Times New Roman"/>
          <w:sz w:val="24"/>
          <w:szCs w:val="24"/>
        </w:rPr>
        <w:t xml:space="preserve">. To rely on an insured’s prejudicial noncooperation to avoid coverage, an insurer must plead noncooperation, whether as an affirmative defense or failure of a condition precedent, with particularity as required by C.R.C.P. 9(c). </w:t>
      </w:r>
      <w:r w:rsidRPr="006A47FD">
        <w:rPr>
          <w:rFonts w:eastAsia="Times New Roman"/>
          <w:b/>
          <w:sz w:val="24"/>
          <w:szCs w:val="24"/>
        </w:rPr>
        <w:t>Soicher v. State Farm Mut. Auto. Ins. Co.</w:t>
      </w:r>
      <w:r w:rsidRPr="006A47FD">
        <w:rPr>
          <w:rFonts w:eastAsia="Times New Roman"/>
          <w:sz w:val="24"/>
          <w:szCs w:val="24"/>
        </w:rPr>
        <w:t>, 2015 COA 46, ¶¶ 25-30, 351 P.3d 559 (an insurer’s denial of an insured’s allegation that all obligations of the insurance contract have been satisfied is insufficient to put an insured on notice of a noncooperation defense).</w:t>
      </w:r>
    </w:p>
    <w:p w14:paraId="7CEECC2C" w14:textId="649668F8" w:rsidR="006A47FD" w:rsidRPr="006A47FD" w:rsidRDefault="006A47FD" w:rsidP="006A47FD">
      <w:pPr>
        <w:spacing w:after="240"/>
        <w:ind w:firstLine="720"/>
        <w:rPr>
          <w:rFonts w:eastAsia="Times New Roman"/>
          <w:sz w:val="24"/>
          <w:szCs w:val="24"/>
        </w:rPr>
      </w:pPr>
      <w:r w:rsidRPr="006A47FD">
        <w:rPr>
          <w:rFonts w:eastAsia="Times New Roman"/>
          <w:sz w:val="24"/>
          <w:szCs w:val="24"/>
        </w:rPr>
        <w:t>2</w:t>
      </w:r>
      <w:r w:rsidR="002802F4">
        <w:rPr>
          <w:rFonts w:eastAsia="Times New Roman"/>
          <w:sz w:val="24"/>
          <w:szCs w:val="24"/>
        </w:rPr>
        <w:t>8</w:t>
      </w:r>
      <w:r w:rsidRPr="006A47FD">
        <w:rPr>
          <w:rFonts w:eastAsia="Times New Roman"/>
          <w:sz w:val="24"/>
          <w:szCs w:val="24"/>
        </w:rPr>
        <w:t xml:space="preserve">. An insured’s duty of good faith and fair dealing is broader than a contractual duty to cooperate, but the consequences of breaching those duties are not necessarily the same. While proof of prejudicial noncooperation may bar a claim for policy benefits, a violation of the implied covenant may not, and an insurer’s assertion of a bad faith defense is insufficient notice of “a contract-voiding noncooperation defense. . . .” </w:t>
      </w:r>
      <w:r w:rsidRPr="006A47FD">
        <w:rPr>
          <w:rFonts w:eastAsia="Times New Roman"/>
          <w:i/>
          <w:sz w:val="24"/>
          <w:szCs w:val="24"/>
        </w:rPr>
        <w:t>Id.</w:t>
      </w:r>
      <w:r w:rsidRPr="006A47FD">
        <w:rPr>
          <w:rFonts w:eastAsia="Times New Roman"/>
          <w:sz w:val="24"/>
          <w:szCs w:val="24"/>
        </w:rPr>
        <w:t xml:space="preserve"> at ¶¶ 26-27.</w:t>
      </w:r>
    </w:p>
    <w:p w14:paraId="701BC1AC" w14:textId="7945DCF0" w:rsidR="006A47FD" w:rsidRPr="006A47FD" w:rsidRDefault="006A47FD" w:rsidP="006A47FD">
      <w:pPr>
        <w:spacing w:after="240"/>
        <w:ind w:firstLine="720"/>
        <w:rPr>
          <w:rFonts w:eastAsia="Times New Roman"/>
          <w:sz w:val="24"/>
          <w:szCs w:val="24"/>
        </w:rPr>
      </w:pPr>
      <w:r w:rsidRPr="006A47FD">
        <w:rPr>
          <w:rFonts w:eastAsia="Times New Roman"/>
          <w:sz w:val="24"/>
          <w:szCs w:val="24"/>
        </w:rPr>
        <w:t>2</w:t>
      </w:r>
      <w:r w:rsidR="002802F4">
        <w:rPr>
          <w:rFonts w:eastAsia="Times New Roman"/>
          <w:sz w:val="24"/>
          <w:szCs w:val="24"/>
        </w:rPr>
        <w:t>9</w:t>
      </w:r>
      <w:r w:rsidRPr="006A47FD">
        <w:rPr>
          <w:rFonts w:eastAsia="Times New Roman"/>
          <w:sz w:val="24"/>
          <w:szCs w:val="24"/>
        </w:rPr>
        <w:t xml:space="preserve">. </w:t>
      </w:r>
      <w:r w:rsidRPr="006A47FD">
        <w:rPr>
          <w:rFonts w:eastAsia="Times New Roman"/>
          <w:b/>
          <w:sz w:val="24"/>
          <w:szCs w:val="24"/>
        </w:rPr>
        <w:t>Parsons</w:t>
      </w:r>
      <w:r w:rsidRPr="006A47FD">
        <w:rPr>
          <w:rFonts w:eastAsia="Times New Roman"/>
          <w:sz w:val="24"/>
          <w:szCs w:val="24"/>
        </w:rPr>
        <w:t xml:space="preserve">, 165 P.3d at 814-18, discussed the differing concerns of litigation conduct depending upon whether the conduct was that of the insurer or the insurer’s attorney and whether that evidence is heard by a jury or after trial by the court. The </w:t>
      </w:r>
      <w:r w:rsidRPr="006A47FD">
        <w:rPr>
          <w:rFonts w:eastAsia="Times New Roman"/>
          <w:b/>
          <w:sz w:val="24"/>
          <w:szCs w:val="24"/>
        </w:rPr>
        <w:t>Parsons</w:t>
      </w:r>
      <w:r w:rsidRPr="006A47FD">
        <w:rPr>
          <w:rFonts w:eastAsia="Times New Roman"/>
          <w:sz w:val="24"/>
          <w:szCs w:val="24"/>
        </w:rPr>
        <w:t xml:space="preserve"> Division adopted the following test for determination of whether attorney litigation conduct may be introduced as evidence of bad faith in a jury trial: “[E]vidence of an attorney’s post-filing litigation conduct may be admitted if the risks of unfair prejudice, confusion of the issues, or misleading the jury, and considerations of undue delay, waste of time, or the presentation of unnecessary cumulative evidence are substantially outweighed by the probative value of the evidence.” </w:t>
      </w:r>
      <w:r w:rsidRPr="006A47FD">
        <w:rPr>
          <w:rFonts w:eastAsia="Times New Roman"/>
          <w:i/>
          <w:sz w:val="24"/>
          <w:szCs w:val="24"/>
        </w:rPr>
        <w:t xml:space="preserve">Id. </w:t>
      </w:r>
      <w:r w:rsidRPr="006A47FD">
        <w:rPr>
          <w:rFonts w:eastAsia="Times New Roman"/>
          <w:sz w:val="24"/>
          <w:szCs w:val="24"/>
        </w:rPr>
        <w:t xml:space="preserve">at 818. Applying this test, the </w:t>
      </w:r>
      <w:r w:rsidRPr="006A47FD">
        <w:rPr>
          <w:rFonts w:eastAsia="Times New Roman"/>
          <w:b/>
          <w:sz w:val="24"/>
          <w:szCs w:val="24"/>
        </w:rPr>
        <w:t>Parsons</w:t>
      </w:r>
      <w:r w:rsidRPr="006A47FD">
        <w:rPr>
          <w:rFonts w:eastAsia="Times New Roman"/>
          <w:sz w:val="24"/>
          <w:szCs w:val="24"/>
        </w:rPr>
        <w:t xml:space="preserve"> Division affirmed the trial court’s exclusion of attorney post-filing conduct tendered as evidence of bad faith where the probative value was light and “the dangers of unfair prejudice, misleading the jury, and confusing the issues were significant.” </w:t>
      </w:r>
      <w:r w:rsidRPr="006A47FD">
        <w:rPr>
          <w:rFonts w:eastAsia="Times New Roman"/>
          <w:i/>
          <w:sz w:val="24"/>
          <w:szCs w:val="24"/>
        </w:rPr>
        <w:t>Id.</w:t>
      </w:r>
      <w:r w:rsidRPr="006A47FD">
        <w:rPr>
          <w:rFonts w:eastAsia="Times New Roman"/>
          <w:sz w:val="24"/>
          <w:szCs w:val="24"/>
        </w:rPr>
        <w:t xml:space="preserve"> at 819.</w:t>
      </w:r>
    </w:p>
    <w:p w14:paraId="73E1CFE7" w14:textId="2FF203C8" w:rsidR="006A47FD" w:rsidRPr="006A47FD" w:rsidRDefault="002802F4" w:rsidP="006A47FD">
      <w:pPr>
        <w:spacing w:after="240"/>
        <w:ind w:firstLine="720"/>
        <w:rPr>
          <w:rFonts w:eastAsia="Times New Roman"/>
          <w:sz w:val="24"/>
          <w:szCs w:val="24"/>
        </w:rPr>
      </w:pPr>
      <w:r>
        <w:rPr>
          <w:rFonts w:eastAsia="Times New Roman"/>
          <w:sz w:val="24"/>
          <w:szCs w:val="24"/>
        </w:rPr>
        <w:t>30</w:t>
      </w:r>
      <w:r w:rsidR="006A47FD" w:rsidRPr="006A47FD">
        <w:rPr>
          <w:rFonts w:eastAsia="Times New Roman"/>
          <w:sz w:val="24"/>
          <w:szCs w:val="24"/>
        </w:rPr>
        <w:t xml:space="preserve">. An insured may maintain claims for both bad faith breach of insurance contract and outrageous conduct arising from the mishandling of a claim for insurance benefits. </w:t>
      </w:r>
      <w:r w:rsidR="006A47FD" w:rsidRPr="006A47FD">
        <w:rPr>
          <w:rFonts w:eastAsia="Times New Roman"/>
          <w:b/>
          <w:sz w:val="24"/>
          <w:szCs w:val="24"/>
        </w:rPr>
        <w:t>McKelvy v. Liberty Mut. Ins. Co.</w:t>
      </w:r>
      <w:r w:rsidR="006A47FD" w:rsidRPr="006A47FD">
        <w:rPr>
          <w:rFonts w:eastAsia="Times New Roman"/>
          <w:sz w:val="24"/>
          <w:szCs w:val="24"/>
        </w:rPr>
        <w:t xml:space="preserve">, 983 P.2d 42 (Colo. App. 1998). In a first-party case, a finding of fact that an insurer’s conduct was outrageous necessarily implies that the conduct was willful and wanton </w:t>
      </w:r>
      <w:r w:rsidR="006A47FD" w:rsidRPr="006A47FD">
        <w:rPr>
          <w:rFonts w:eastAsia="Times New Roman"/>
          <w:sz w:val="24"/>
          <w:szCs w:val="24"/>
        </w:rPr>
        <w:lastRenderedPageBreak/>
        <w:t xml:space="preserve">within the meaning of section 10-4-708(1.8), C.R.S. (now repealed), and in bad faith as defined in this instruction. </w:t>
      </w:r>
      <w:r w:rsidR="006A47FD" w:rsidRPr="006A47FD">
        <w:rPr>
          <w:rFonts w:eastAsia="Times New Roman"/>
          <w:b/>
          <w:sz w:val="24"/>
          <w:szCs w:val="24"/>
        </w:rPr>
        <w:t>Munoz v. State Farm Mut. Auto. Ins. Co.</w:t>
      </w:r>
      <w:r w:rsidR="006A47FD" w:rsidRPr="006A47FD">
        <w:rPr>
          <w:rFonts w:eastAsia="Times New Roman"/>
          <w:sz w:val="24"/>
          <w:szCs w:val="24"/>
        </w:rPr>
        <w:t>, 968 P.2d 126 (Colo. App. 1998).</w:t>
      </w:r>
    </w:p>
    <w:p w14:paraId="38F1CAD4" w14:textId="63A25878" w:rsidR="006A47FD" w:rsidRPr="006A47FD" w:rsidRDefault="002802F4" w:rsidP="006A47FD">
      <w:pPr>
        <w:spacing w:after="240"/>
        <w:ind w:firstLine="720"/>
        <w:rPr>
          <w:rFonts w:eastAsia="Times New Roman"/>
          <w:sz w:val="24"/>
          <w:szCs w:val="24"/>
        </w:rPr>
      </w:pPr>
      <w:r>
        <w:rPr>
          <w:rFonts w:eastAsia="Times New Roman"/>
          <w:sz w:val="24"/>
          <w:szCs w:val="24"/>
        </w:rPr>
        <w:t>31</w:t>
      </w:r>
      <w:r w:rsidR="006A47FD" w:rsidRPr="006A47FD">
        <w:rPr>
          <w:rFonts w:eastAsia="Times New Roman"/>
          <w:sz w:val="24"/>
          <w:szCs w:val="24"/>
        </w:rPr>
        <w:t xml:space="preserve">. The Colorado Auto Accident Reparations Act (now repealed) does not preempt the common-law tort claim of bad faith breach of insurance contract. </w:t>
      </w:r>
      <w:r w:rsidR="006A47FD" w:rsidRPr="006A47FD">
        <w:rPr>
          <w:rFonts w:eastAsia="Times New Roman"/>
          <w:b/>
          <w:sz w:val="24"/>
          <w:szCs w:val="24"/>
        </w:rPr>
        <w:t>Farmers Group, Inc. v. Williams</w:t>
      </w:r>
      <w:r w:rsidR="006A47FD" w:rsidRPr="006A47FD">
        <w:rPr>
          <w:rFonts w:eastAsia="Times New Roman"/>
          <w:sz w:val="24"/>
          <w:szCs w:val="24"/>
        </w:rPr>
        <w:t>,</w:t>
      </w:r>
      <w:r w:rsidR="006A47FD" w:rsidRPr="006A47FD">
        <w:rPr>
          <w:rFonts w:eastAsia="Times New Roman"/>
          <w:b/>
          <w:sz w:val="24"/>
          <w:szCs w:val="24"/>
        </w:rPr>
        <w:t xml:space="preserve"> </w:t>
      </w:r>
      <w:r w:rsidR="006A47FD" w:rsidRPr="006A47FD">
        <w:rPr>
          <w:rFonts w:eastAsia="Times New Roman"/>
          <w:sz w:val="24"/>
          <w:szCs w:val="24"/>
        </w:rPr>
        <w:t>805 P.2d 419 (Colo. 1991).</w:t>
      </w:r>
    </w:p>
    <w:p w14:paraId="2EFEEEE0" w14:textId="77777777" w:rsidR="006A47FD" w:rsidRPr="006A47FD" w:rsidRDefault="006A47FD" w:rsidP="00407AAB">
      <w:pPr>
        <w:keepNext/>
        <w:rPr>
          <w:rFonts w:eastAsia="Times New Roman"/>
          <w:b/>
          <w:sz w:val="24"/>
          <w:szCs w:val="24"/>
          <w:u w:val="single"/>
        </w:rPr>
      </w:pPr>
      <w:r w:rsidRPr="006A47FD">
        <w:rPr>
          <w:rFonts w:eastAsia="Times New Roman"/>
          <w:b/>
          <w:sz w:val="24"/>
          <w:szCs w:val="24"/>
          <w:u w:val="single"/>
        </w:rPr>
        <w:t>ERISA Preemption</w:t>
      </w:r>
    </w:p>
    <w:p w14:paraId="051EC246" w14:textId="6628E94E" w:rsidR="006A47FD" w:rsidRPr="006A47FD" w:rsidRDefault="00434650" w:rsidP="006A47FD">
      <w:pPr>
        <w:spacing w:after="240"/>
        <w:ind w:firstLine="720"/>
        <w:rPr>
          <w:rFonts w:eastAsia="Times New Roman"/>
          <w:sz w:val="24"/>
          <w:szCs w:val="24"/>
        </w:rPr>
      </w:pPr>
      <w:r>
        <w:rPr>
          <w:rFonts w:eastAsia="Times New Roman"/>
          <w:sz w:val="24"/>
          <w:szCs w:val="24"/>
        </w:rPr>
        <w:t>3</w:t>
      </w:r>
      <w:r w:rsidR="002802F4">
        <w:rPr>
          <w:rFonts w:eastAsia="Times New Roman"/>
          <w:sz w:val="24"/>
          <w:szCs w:val="24"/>
        </w:rPr>
        <w:t>2</w:t>
      </w:r>
      <w:r w:rsidR="006A47FD" w:rsidRPr="006A47FD">
        <w:rPr>
          <w:rFonts w:eastAsia="Times New Roman"/>
          <w:sz w:val="24"/>
          <w:szCs w:val="24"/>
        </w:rPr>
        <w:t>. A claim for bad faith breach of insurance contract may be preempted in cases involving insurance provided by an employer. The Employee Retirement Income Security Act of 1974, 29 U.S.C. §§ 1001 to -03 (201</w:t>
      </w:r>
      <w:r w:rsidR="00211BAE">
        <w:rPr>
          <w:rFonts w:eastAsia="Times New Roman"/>
          <w:sz w:val="24"/>
          <w:szCs w:val="24"/>
        </w:rPr>
        <w:t>8</w:t>
      </w:r>
      <w:r w:rsidR="006A47FD" w:rsidRPr="006A47FD">
        <w:rPr>
          <w:rFonts w:eastAsia="Times New Roman"/>
          <w:sz w:val="24"/>
          <w:szCs w:val="24"/>
        </w:rPr>
        <w:t xml:space="preserve">) (ERISA), preempts state-law claims that “relate to” an employee benefit plan except for those state laws that are considered to “regulate” insurance. </w:t>
      </w:r>
      <w:r w:rsidR="006A47FD" w:rsidRPr="006A47FD">
        <w:rPr>
          <w:rFonts w:eastAsia="Times New Roman"/>
          <w:b/>
          <w:sz w:val="24"/>
          <w:szCs w:val="24"/>
        </w:rPr>
        <w:t>Aetna Health Inc. v. Davila</w:t>
      </w:r>
      <w:r w:rsidR="006A47FD" w:rsidRPr="006A47FD">
        <w:rPr>
          <w:rFonts w:eastAsia="Times New Roman"/>
          <w:sz w:val="24"/>
          <w:szCs w:val="24"/>
        </w:rPr>
        <w:t xml:space="preserve">, 542 U.S. 200, 217-18 (2004) (“[E]ven a state law that can arguably be characterized as ‘regulating insurance’ will be pre-empted if it provides a separate vehicle to assert a claim for benefits outside of , or in addition to, ERISA’s remedial scheme.”); </w:t>
      </w:r>
      <w:r w:rsidR="006A47FD" w:rsidRPr="006A47FD">
        <w:rPr>
          <w:rFonts w:eastAsia="Times New Roman"/>
          <w:b/>
          <w:sz w:val="24"/>
          <w:szCs w:val="24"/>
        </w:rPr>
        <w:t>Rush Prudential HMO, Inc. v. Moran</w:t>
      </w:r>
      <w:r w:rsidR="006A47FD" w:rsidRPr="006A47FD">
        <w:rPr>
          <w:rFonts w:eastAsia="Times New Roman"/>
          <w:sz w:val="24"/>
          <w:szCs w:val="24"/>
        </w:rPr>
        <w:t xml:space="preserve">, 536 U.S. 355 (2002) (state statute permitting independent medical review of HMO’s denial of health insurance benefits for lack of medical necessity regulated insurance and was not preempted where relief sought was available under ERISA); </w:t>
      </w:r>
      <w:r w:rsidR="006A47FD" w:rsidRPr="006A47FD">
        <w:rPr>
          <w:rFonts w:eastAsia="Times New Roman"/>
          <w:b/>
          <w:sz w:val="24"/>
          <w:szCs w:val="24"/>
        </w:rPr>
        <w:t>UNUM Life Ins. Co. v. Ward</w:t>
      </w:r>
      <w:r w:rsidR="006A47FD" w:rsidRPr="006A47FD">
        <w:rPr>
          <w:rFonts w:eastAsia="Times New Roman"/>
          <w:sz w:val="24"/>
          <w:szCs w:val="24"/>
        </w:rPr>
        <w:t xml:space="preserve">, 526 U.S. 358 (1999) (state notice-prejudice rule applicable only to insurance contracts did “regulate” insurance and, thus, was saved from preemption); </w:t>
      </w:r>
      <w:r w:rsidR="006A47FD" w:rsidRPr="006A47FD">
        <w:rPr>
          <w:rFonts w:eastAsia="Times New Roman"/>
          <w:b/>
          <w:sz w:val="24"/>
          <w:szCs w:val="24"/>
        </w:rPr>
        <w:t>Pilot Life Ins. Co. v. Dedeaux</w:t>
      </w:r>
      <w:r w:rsidR="006A47FD" w:rsidRPr="006A47FD">
        <w:rPr>
          <w:rFonts w:eastAsia="Times New Roman"/>
          <w:sz w:val="24"/>
          <w:szCs w:val="24"/>
        </w:rPr>
        <w:t xml:space="preserve">, 481 U.S. 41 (1987) (state bad faith law that applied to breach of any contract did not “regulate” insurance and was, therefore, preempted); </w:t>
      </w:r>
      <w:r w:rsidR="006A47FD" w:rsidRPr="006A47FD">
        <w:rPr>
          <w:rFonts w:eastAsia="Times New Roman"/>
          <w:b/>
          <w:sz w:val="24"/>
          <w:szCs w:val="24"/>
        </w:rPr>
        <w:t>Pegram v. Herdrich</w:t>
      </w:r>
      <w:r w:rsidR="006A47FD" w:rsidRPr="006A47FD">
        <w:rPr>
          <w:rFonts w:eastAsia="Times New Roman"/>
          <w:sz w:val="24"/>
          <w:szCs w:val="24"/>
        </w:rPr>
        <w:t xml:space="preserve">, 530 U.S. 211 (2000) (in context of physician-owned-and-operated HMO, plan beneficiary’s claim for medical malpractice arising from treating physician’s decision as to eligibility for coverage that was inextricably mixed with treatment decision was held not preempted). </w:t>
      </w:r>
    </w:p>
    <w:p w14:paraId="080FA211" w14:textId="4A8B3CE3" w:rsidR="006A47FD" w:rsidRPr="006A47FD" w:rsidRDefault="0007116C" w:rsidP="006A47FD">
      <w:pPr>
        <w:spacing w:after="240"/>
        <w:ind w:firstLine="720"/>
        <w:rPr>
          <w:rFonts w:eastAsia="Times New Roman"/>
          <w:sz w:val="24"/>
          <w:szCs w:val="24"/>
        </w:rPr>
      </w:pPr>
      <w:r>
        <w:rPr>
          <w:rFonts w:eastAsia="Times New Roman"/>
          <w:sz w:val="24"/>
          <w:szCs w:val="24"/>
        </w:rPr>
        <w:t>3</w:t>
      </w:r>
      <w:r w:rsidR="002802F4">
        <w:rPr>
          <w:rFonts w:eastAsia="Times New Roman"/>
          <w:sz w:val="24"/>
          <w:szCs w:val="24"/>
        </w:rPr>
        <w:t>3</w:t>
      </w:r>
      <w:r w:rsidR="006A47FD" w:rsidRPr="006A47FD">
        <w:rPr>
          <w:rFonts w:eastAsia="Times New Roman"/>
          <w:sz w:val="24"/>
          <w:szCs w:val="24"/>
        </w:rPr>
        <w:t xml:space="preserve">. ERISA and its regulations must be consulted because certain employer group benefit plans are specifically excluded from ERISA in its Safe Harbor provision. </w:t>
      </w:r>
      <w:r w:rsidR="006A47FD" w:rsidRPr="006A47FD">
        <w:rPr>
          <w:rFonts w:eastAsia="Times New Roman"/>
          <w:i/>
          <w:sz w:val="24"/>
          <w:szCs w:val="24"/>
        </w:rPr>
        <w:t>See</w:t>
      </w:r>
      <w:r w:rsidR="006A47FD" w:rsidRPr="006A47FD">
        <w:rPr>
          <w:rFonts w:eastAsia="Times New Roman"/>
          <w:sz w:val="24"/>
          <w:szCs w:val="24"/>
        </w:rPr>
        <w:t xml:space="preserve"> 29 U.S.C. § 1003 (b) (201</w:t>
      </w:r>
      <w:r w:rsidR="00211BAE">
        <w:rPr>
          <w:rFonts w:eastAsia="Times New Roman"/>
          <w:sz w:val="24"/>
          <w:szCs w:val="24"/>
        </w:rPr>
        <w:t>8</w:t>
      </w:r>
      <w:r w:rsidR="006A47FD" w:rsidRPr="006A47FD">
        <w:rPr>
          <w:rFonts w:eastAsia="Times New Roman"/>
          <w:sz w:val="24"/>
          <w:szCs w:val="24"/>
        </w:rPr>
        <w:t>); 29 C.F.R. § 2510.3-1(j) (2017) (listing factors to be considered).</w:t>
      </w:r>
    </w:p>
    <w:p w14:paraId="5AC92736" w14:textId="5AABAB5A" w:rsidR="006A47FD" w:rsidRPr="006A47FD" w:rsidRDefault="006A47FD" w:rsidP="006A47FD">
      <w:pPr>
        <w:spacing w:after="240"/>
        <w:ind w:firstLine="720"/>
        <w:rPr>
          <w:rFonts w:eastAsia="Times New Roman"/>
          <w:sz w:val="24"/>
          <w:szCs w:val="24"/>
        </w:rPr>
      </w:pPr>
      <w:r w:rsidRPr="006A47FD">
        <w:rPr>
          <w:rFonts w:eastAsia="Times New Roman"/>
          <w:sz w:val="24"/>
          <w:szCs w:val="24"/>
        </w:rPr>
        <w:t>3</w:t>
      </w:r>
      <w:r w:rsidR="002802F4">
        <w:rPr>
          <w:rFonts w:eastAsia="Times New Roman"/>
          <w:sz w:val="24"/>
          <w:szCs w:val="24"/>
        </w:rPr>
        <w:t>4</w:t>
      </w:r>
      <w:r w:rsidRPr="006A47FD">
        <w:rPr>
          <w:rFonts w:eastAsia="Times New Roman"/>
          <w:sz w:val="24"/>
          <w:szCs w:val="24"/>
        </w:rPr>
        <w:t xml:space="preserve">. For a discussion of factors to be considered in determining whether ERISA applies, see </w:t>
      </w:r>
      <w:r w:rsidRPr="006A47FD">
        <w:rPr>
          <w:rFonts w:eastAsia="Times New Roman"/>
          <w:b/>
          <w:sz w:val="24"/>
          <w:szCs w:val="24"/>
        </w:rPr>
        <w:t>Peters v. Boulder Ins. Agency, Inc.</w:t>
      </w:r>
      <w:r w:rsidRPr="006A47FD">
        <w:rPr>
          <w:rFonts w:eastAsia="Times New Roman"/>
          <w:sz w:val="24"/>
          <w:szCs w:val="24"/>
        </w:rPr>
        <w:t xml:space="preserve">, 829 P.2d 429 (Colo. App. 1991) (employer’s purchase of insurance does not alone establish an ERISA plan); </w:t>
      </w:r>
      <w:r w:rsidRPr="006A47FD">
        <w:rPr>
          <w:rFonts w:eastAsia="Times New Roman"/>
          <w:b/>
          <w:sz w:val="24"/>
          <w:szCs w:val="24"/>
        </w:rPr>
        <w:t>Pierce v. Capitol Life Ins. Co.</w:t>
      </w:r>
      <w:r w:rsidRPr="006A47FD">
        <w:rPr>
          <w:rFonts w:eastAsia="Times New Roman"/>
          <w:sz w:val="24"/>
          <w:szCs w:val="24"/>
        </w:rPr>
        <w:t xml:space="preserve">, 806 P.2d 388 (Colo. App. 1990) (bad faith claim of business owners/insureds not preempted where plaintiffs were not plan “participants” or “beneficiaries” entitled to bring ERISA claim). State courts have limited concurrent jurisdiction with federal courts over ERISA actions. </w:t>
      </w:r>
      <w:r w:rsidRPr="006A47FD">
        <w:rPr>
          <w:rFonts w:eastAsia="Times New Roman"/>
          <w:b/>
          <w:sz w:val="24"/>
          <w:szCs w:val="24"/>
        </w:rPr>
        <w:t>Estate of Damon</w:t>
      </w:r>
      <w:r w:rsidRPr="006A47FD">
        <w:rPr>
          <w:rFonts w:eastAsia="Times New Roman"/>
          <w:sz w:val="24"/>
          <w:szCs w:val="24"/>
        </w:rPr>
        <w:t xml:space="preserve">, 915 P.2d 1301 (Colo. 1996). </w:t>
      </w:r>
    </w:p>
    <w:p w14:paraId="71F235EE" w14:textId="06D98233" w:rsidR="007C4B23" w:rsidRDefault="006A47FD" w:rsidP="00EC29A6">
      <w:pPr>
        <w:spacing w:after="240"/>
        <w:ind w:firstLine="720"/>
        <w:rPr>
          <w:rFonts w:eastAsia="Times New Roman"/>
          <w:sz w:val="24"/>
          <w:szCs w:val="24"/>
        </w:rPr>
      </w:pPr>
      <w:r w:rsidRPr="006A47FD">
        <w:rPr>
          <w:rFonts w:eastAsia="Times New Roman"/>
          <w:sz w:val="24"/>
          <w:szCs w:val="24"/>
        </w:rPr>
        <w:t>3</w:t>
      </w:r>
      <w:r w:rsidR="002802F4">
        <w:rPr>
          <w:rFonts w:eastAsia="Times New Roman"/>
          <w:sz w:val="24"/>
          <w:szCs w:val="24"/>
        </w:rPr>
        <w:t>5</w:t>
      </w:r>
      <w:r w:rsidRPr="006A47FD">
        <w:rPr>
          <w:rFonts w:eastAsia="Times New Roman"/>
          <w:sz w:val="24"/>
          <w:szCs w:val="24"/>
        </w:rPr>
        <w:t xml:space="preserve">. Even though a state law may “regulate insurance” within the meaning of ERISA’s Savings Clause, it will be barred by conflict preemption if the law provides for remedies unavailable under ERISA. In </w:t>
      </w:r>
      <w:r w:rsidRPr="006A47FD">
        <w:rPr>
          <w:rFonts w:eastAsia="Times New Roman"/>
          <w:b/>
          <w:sz w:val="24"/>
          <w:szCs w:val="24"/>
        </w:rPr>
        <w:t>Timm v. Prudential Insurance Co. of America</w:t>
      </w:r>
      <w:r w:rsidRPr="006A47FD">
        <w:rPr>
          <w:rFonts w:eastAsia="Times New Roman"/>
          <w:sz w:val="24"/>
          <w:szCs w:val="24"/>
        </w:rPr>
        <w:t>, 259 P.3d 521 (Colo. App. 2011), the court determined that section 10-3-1116(1), C.R.S., which provides for double recovery of benefits that are unreasonably delayed or denied, was preempted because the statutory cause of action allowed recovery of benefits that are not available under and</w:t>
      </w:r>
      <w:r w:rsidR="00407AAB">
        <w:rPr>
          <w:rFonts w:eastAsia="Times New Roman"/>
          <w:sz w:val="24"/>
          <w:szCs w:val="24"/>
        </w:rPr>
        <w:t xml:space="preserve"> therefore conflict with ERISA.</w:t>
      </w:r>
      <w:r w:rsidR="00B80472">
        <w:rPr>
          <w:rFonts w:eastAsia="Times New Roman"/>
          <w:sz w:val="24"/>
          <w:szCs w:val="24"/>
        </w:rPr>
        <w:t xml:space="preserve"> </w:t>
      </w:r>
      <w:r w:rsidR="00B80472" w:rsidRPr="00B80472">
        <w:rPr>
          <w:rFonts w:eastAsia="Times New Roman"/>
          <w:i/>
          <w:sz w:val="24"/>
          <w:szCs w:val="24"/>
        </w:rPr>
        <w:t>See also</w:t>
      </w:r>
      <w:r w:rsidR="00B80472">
        <w:rPr>
          <w:rFonts w:eastAsia="Times New Roman"/>
          <w:sz w:val="24"/>
          <w:szCs w:val="24"/>
        </w:rPr>
        <w:t xml:space="preserve"> § 10-3-1116(2), (3).</w:t>
      </w:r>
    </w:p>
    <w:p w14:paraId="1443B15B" w14:textId="50B95461" w:rsidR="009D7335" w:rsidRDefault="009D7335" w:rsidP="00EC29A6">
      <w:pPr>
        <w:spacing w:after="240"/>
        <w:ind w:firstLine="720"/>
        <w:rPr>
          <w:rFonts w:eastAsia="Times New Roman"/>
          <w:sz w:val="24"/>
          <w:szCs w:val="24"/>
        </w:rPr>
      </w:pPr>
    </w:p>
    <w:p w14:paraId="740BDA34" w14:textId="77777777" w:rsidR="00407AAB" w:rsidRDefault="00407AAB">
      <w:pPr>
        <w:rPr>
          <w:rFonts w:eastAsia="Times New Roman"/>
          <w:sz w:val="24"/>
          <w:szCs w:val="24"/>
        </w:rPr>
      </w:pPr>
      <w:r>
        <w:rPr>
          <w:rFonts w:eastAsia="Times New Roman"/>
          <w:sz w:val="24"/>
          <w:szCs w:val="24"/>
        </w:rPr>
        <w:lastRenderedPageBreak/>
        <w:br w:type="page"/>
      </w:r>
    </w:p>
    <w:p w14:paraId="05BEE8B7" w14:textId="77777777" w:rsidR="00407AAB" w:rsidRPr="009E3DA4" w:rsidRDefault="00407AAB" w:rsidP="00407AAB">
      <w:pPr>
        <w:spacing w:after="240"/>
        <w:ind w:left="720" w:hanging="720"/>
        <w:rPr>
          <w:rFonts w:eastAsia="Times New Roman"/>
          <w:b/>
          <w:sz w:val="24"/>
          <w:szCs w:val="24"/>
        </w:rPr>
      </w:pPr>
      <w:bookmarkStart w:id="2" w:name="a25_03"/>
      <w:bookmarkEnd w:id="2"/>
      <w:r w:rsidRPr="00407AAB">
        <w:rPr>
          <w:rFonts w:eastAsia="Times New Roman"/>
          <w:b/>
          <w:sz w:val="24"/>
          <w:szCs w:val="24"/>
        </w:rPr>
        <w:lastRenderedPageBreak/>
        <w:t xml:space="preserve">25:3 </w:t>
      </w:r>
      <w:r w:rsidRPr="00407AAB">
        <w:rPr>
          <w:rFonts w:eastAsia="Times New Roman"/>
          <w:b/>
          <w:sz w:val="24"/>
          <w:szCs w:val="24"/>
        </w:rPr>
        <w:tab/>
        <w:t>UNREASONABLE CONDUCT/UNREASONABLE POSITION — COMMON-LAW CLAIMS — DEFINED</w:t>
      </w:r>
    </w:p>
    <w:p w14:paraId="07F276A5" w14:textId="77777777" w:rsidR="00407AAB" w:rsidRPr="00407AAB" w:rsidRDefault="00407AAB" w:rsidP="00407AAB">
      <w:pPr>
        <w:spacing w:after="240"/>
        <w:ind w:firstLine="720"/>
        <w:rPr>
          <w:rFonts w:eastAsia="Times New Roman"/>
          <w:b/>
          <w:sz w:val="24"/>
          <w:szCs w:val="24"/>
        </w:rPr>
      </w:pPr>
      <w:r w:rsidRPr="00407AAB">
        <w:rPr>
          <w:rFonts w:eastAsia="Times New Roman"/>
          <w:b/>
          <w:sz w:val="24"/>
          <w:szCs w:val="24"/>
        </w:rPr>
        <w:t>(“Unreasonable conduct” means the failure to do an act that a reasonably careful insurance company would do, or the doing of an act that a reasonably careful insurance company would not do, under the same or similar circumstances, to protect the persons insured from [injuries] [damages] [losses].)</w:t>
      </w:r>
    </w:p>
    <w:p w14:paraId="7BBE5A53" w14:textId="77777777" w:rsidR="00407AAB" w:rsidRPr="00407AAB" w:rsidRDefault="00407AAB" w:rsidP="00407AAB">
      <w:pPr>
        <w:spacing w:after="240"/>
        <w:ind w:firstLine="720"/>
        <w:rPr>
          <w:rFonts w:eastAsia="Times New Roman"/>
          <w:b/>
          <w:sz w:val="24"/>
          <w:szCs w:val="24"/>
        </w:rPr>
      </w:pPr>
      <w:r w:rsidRPr="00407AAB">
        <w:rPr>
          <w:rFonts w:eastAsia="Times New Roman"/>
          <w:b/>
          <w:sz w:val="24"/>
          <w:szCs w:val="24"/>
        </w:rPr>
        <w:t>(“Unreasonable position” means a position taken by an insurance company with respect to a claim being made on one of its policies that a reasonably careful insurance company would not take under the same or similar circumstances.)</w:t>
      </w:r>
    </w:p>
    <w:p w14:paraId="509C1FCE" w14:textId="77777777" w:rsidR="00407AAB" w:rsidRDefault="00407AAB" w:rsidP="00407AAB">
      <w:pPr>
        <w:jc w:val="center"/>
        <w:rPr>
          <w:rFonts w:eastAsia="Times New Roman"/>
          <w:sz w:val="24"/>
          <w:szCs w:val="24"/>
        </w:rPr>
      </w:pPr>
    </w:p>
    <w:p w14:paraId="107D1335" w14:textId="77777777" w:rsidR="00407AAB" w:rsidRPr="0054263B" w:rsidRDefault="00407AAB" w:rsidP="00407AAB">
      <w:pPr>
        <w:keepNext/>
        <w:spacing w:after="240"/>
        <w:jc w:val="center"/>
        <w:rPr>
          <w:rFonts w:eastAsia="Times New Roman"/>
          <w:b/>
          <w:sz w:val="24"/>
          <w:szCs w:val="24"/>
        </w:rPr>
      </w:pPr>
      <w:r w:rsidRPr="0054263B">
        <w:rPr>
          <w:rFonts w:eastAsia="Times New Roman"/>
          <w:b/>
          <w:sz w:val="24"/>
          <w:szCs w:val="24"/>
        </w:rPr>
        <w:t>Notes on Use</w:t>
      </w:r>
    </w:p>
    <w:p w14:paraId="295684EA" w14:textId="422F011C" w:rsidR="00407AAB" w:rsidRPr="00407AAB" w:rsidRDefault="00407AAB" w:rsidP="00407AAB">
      <w:pPr>
        <w:spacing w:after="240"/>
        <w:ind w:firstLine="720"/>
        <w:rPr>
          <w:rFonts w:eastAsia="Times New Roman"/>
          <w:sz w:val="24"/>
          <w:szCs w:val="24"/>
        </w:rPr>
      </w:pPr>
      <w:r w:rsidRPr="00407AAB">
        <w:rPr>
          <w:rFonts w:eastAsia="Times New Roman"/>
          <w:sz w:val="24"/>
          <w:szCs w:val="24"/>
        </w:rPr>
        <w:t>1. This instruction should be used with Instruction 25:1 or 25:2 whenever the second numbered paragraph of either of those instructions is given, and in appropriate cases, Instruction 25:6 should be used, as well.</w:t>
      </w:r>
    </w:p>
    <w:p w14:paraId="7735C25F" w14:textId="77777777" w:rsidR="00407AAB" w:rsidRPr="00407AAB" w:rsidRDefault="00407AAB" w:rsidP="00407AAB">
      <w:pPr>
        <w:spacing w:after="240"/>
        <w:ind w:firstLine="720"/>
        <w:rPr>
          <w:rFonts w:eastAsia="Times New Roman"/>
          <w:sz w:val="24"/>
          <w:szCs w:val="24"/>
        </w:rPr>
      </w:pPr>
      <w:r w:rsidRPr="00407AAB">
        <w:rPr>
          <w:rFonts w:eastAsia="Times New Roman"/>
          <w:sz w:val="24"/>
          <w:szCs w:val="24"/>
        </w:rPr>
        <w:t>2. If appropriate, an alternative phrase to “insurance company” (e.g., “self-insurer,” “person,” “independent insurance adjuster”) should be used to describe the defendant.</w:t>
      </w:r>
    </w:p>
    <w:p w14:paraId="646EADA5" w14:textId="77777777" w:rsidR="00407AAB" w:rsidRPr="0054263B" w:rsidRDefault="00407AAB" w:rsidP="00407AAB">
      <w:pPr>
        <w:keepNext/>
        <w:spacing w:after="240"/>
        <w:jc w:val="center"/>
        <w:rPr>
          <w:rFonts w:eastAsia="Times New Roman"/>
          <w:b/>
          <w:sz w:val="24"/>
          <w:szCs w:val="24"/>
        </w:rPr>
      </w:pPr>
      <w:r>
        <w:rPr>
          <w:rFonts w:eastAsia="Times New Roman"/>
          <w:b/>
          <w:sz w:val="24"/>
          <w:szCs w:val="24"/>
        </w:rPr>
        <w:t>Source and Authority</w:t>
      </w:r>
    </w:p>
    <w:p w14:paraId="05088BF4" w14:textId="77777777" w:rsidR="00407AAB" w:rsidRPr="00407AAB" w:rsidRDefault="00407AAB" w:rsidP="00407AAB">
      <w:pPr>
        <w:spacing w:after="240"/>
        <w:ind w:firstLine="720"/>
        <w:rPr>
          <w:rFonts w:eastAsia="Times New Roman"/>
          <w:sz w:val="24"/>
          <w:szCs w:val="24"/>
        </w:rPr>
      </w:pPr>
      <w:r w:rsidRPr="00407AAB">
        <w:rPr>
          <w:rFonts w:eastAsia="Times New Roman"/>
          <w:sz w:val="24"/>
          <w:szCs w:val="24"/>
        </w:rPr>
        <w:t xml:space="preserve">1. This instruction is supported by </w:t>
      </w:r>
      <w:r w:rsidRPr="00407AAB">
        <w:rPr>
          <w:rFonts w:eastAsia="Times New Roman"/>
          <w:b/>
          <w:sz w:val="24"/>
          <w:szCs w:val="24"/>
        </w:rPr>
        <w:t>Travelers Insurance Co. v. Savio</w:t>
      </w:r>
      <w:r w:rsidRPr="00407AAB">
        <w:rPr>
          <w:rFonts w:eastAsia="Times New Roman"/>
          <w:sz w:val="24"/>
          <w:szCs w:val="24"/>
        </w:rPr>
        <w:t xml:space="preserve">, 706 P.2d 1258 (Colo. 1985); </w:t>
      </w:r>
      <w:r w:rsidRPr="00407AAB">
        <w:rPr>
          <w:rFonts w:eastAsia="Times New Roman"/>
          <w:b/>
          <w:sz w:val="24"/>
          <w:szCs w:val="24"/>
        </w:rPr>
        <w:t>Farmers Group, Inc. v. Trimble</w:t>
      </w:r>
      <w:r w:rsidRPr="00407AAB">
        <w:rPr>
          <w:rFonts w:eastAsia="Times New Roman"/>
          <w:sz w:val="24"/>
          <w:szCs w:val="24"/>
        </w:rPr>
        <w:t xml:space="preserve">, 691 P.2d 1138 (Colo. 1984); </w:t>
      </w:r>
      <w:r w:rsidRPr="00407AAB">
        <w:rPr>
          <w:rFonts w:eastAsia="Times New Roman"/>
          <w:b/>
          <w:sz w:val="24"/>
          <w:szCs w:val="24"/>
        </w:rPr>
        <w:t>Bankruptcy Estate of Morris v. COPIC Insurance Co.</w:t>
      </w:r>
      <w:r w:rsidRPr="00407AAB">
        <w:rPr>
          <w:rFonts w:eastAsia="Times New Roman"/>
          <w:sz w:val="24"/>
          <w:szCs w:val="24"/>
        </w:rPr>
        <w:t xml:space="preserve">, 192 P.3d 519 (Colo. App. 2008); </w:t>
      </w:r>
      <w:r w:rsidRPr="00407AAB">
        <w:rPr>
          <w:rFonts w:eastAsia="Times New Roman"/>
          <w:b/>
          <w:sz w:val="24"/>
          <w:szCs w:val="24"/>
        </w:rPr>
        <w:t>Miller v. Byrne</w:t>
      </w:r>
      <w:r w:rsidRPr="00407AAB">
        <w:rPr>
          <w:rFonts w:eastAsia="Times New Roman"/>
          <w:sz w:val="24"/>
          <w:szCs w:val="24"/>
        </w:rPr>
        <w:t xml:space="preserve">, 916 P.2d 566 (Colo. App. 1995); and </w:t>
      </w:r>
      <w:r w:rsidRPr="00407AAB">
        <w:rPr>
          <w:rFonts w:eastAsia="Times New Roman"/>
          <w:b/>
          <w:sz w:val="24"/>
          <w:szCs w:val="24"/>
        </w:rPr>
        <w:t>Pierce v. Capitol Life Insurance Co.</w:t>
      </w:r>
      <w:r w:rsidRPr="00407AAB">
        <w:rPr>
          <w:rFonts w:eastAsia="Times New Roman"/>
          <w:sz w:val="24"/>
          <w:szCs w:val="24"/>
        </w:rPr>
        <w:t>,</w:t>
      </w:r>
      <w:r w:rsidRPr="00407AAB">
        <w:rPr>
          <w:rFonts w:eastAsia="Times New Roman"/>
          <w:b/>
          <w:sz w:val="24"/>
          <w:szCs w:val="24"/>
        </w:rPr>
        <w:t xml:space="preserve"> </w:t>
      </w:r>
      <w:r w:rsidRPr="00407AAB">
        <w:rPr>
          <w:rFonts w:eastAsia="Times New Roman"/>
          <w:sz w:val="24"/>
          <w:szCs w:val="24"/>
        </w:rPr>
        <w:t>806 P.2d 388 (Colo. App. 1990).</w:t>
      </w:r>
    </w:p>
    <w:p w14:paraId="33EDD088" w14:textId="77777777" w:rsidR="00407AAB" w:rsidRPr="00407AAB" w:rsidRDefault="00407AAB" w:rsidP="00407AAB">
      <w:pPr>
        <w:spacing w:after="240"/>
        <w:ind w:firstLine="720"/>
        <w:rPr>
          <w:rFonts w:eastAsia="Times New Roman"/>
          <w:sz w:val="24"/>
          <w:szCs w:val="24"/>
        </w:rPr>
      </w:pPr>
      <w:r w:rsidRPr="00407AAB">
        <w:rPr>
          <w:rFonts w:eastAsia="Times New Roman"/>
          <w:sz w:val="24"/>
          <w:szCs w:val="24"/>
        </w:rPr>
        <w:t xml:space="preserve">2. The reasonableness of the insurer’s conduct is to be determined objectively, according to industry standards. </w:t>
      </w:r>
      <w:r w:rsidRPr="00407AAB">
        <w:rPr>
          <w:rFonts w:eastAsia="Times New Roman"/>
          <w:b/>
          <w:sz w:val="24"/>
          <w:szCs w:val="24"/>
        </w:rPr>
        <w:t>Am. Family Mut. Ins. Co. v. Allen</w:t>
      </w:r>
      <w:r w:rsidRPr="00407AAB">
        <w:rPr>
          <w:rFonts w:eastAsia="Times New Roman"/>
          <w:sz w:val="24"/>
          <w:szCs w:val="24"/>
        </w:rPr>
        <w:t>,</w:t>
      </w:r>
      <w:r w:rsidRPr="00407AAB">
        <w:rPr>
          <w:rFonts w:eastAsia="Times New Roman"/>
          <w:b/>
          <w:sz w:val="24"/>
          <w:szCs w:val="24"/>
        </w:rPr>
        <w:t xml:space="preserve"> </w:t>
      </w:r>
      <w:r w:rsidRPr="00407AAB">
        <w:rPr>
          <w:rFonts w:eastAsia="Times New Roman"/>
          <w:sz w:val="24"/>
          <w:szCs w:val="24"/>
        </w:rPr>
        <w:t xml:space="preserve">102 P.3d 333 (Colo. 2004); </w:t>
      </w:r>
      <w:r w:rsidRPr="00407AAB">
        <w:rPr>
          <w:rFonts w:eastAsia="Times New Roman"/>
          <w:b/>
          <w:sz w:val="24"/>
          <w:szCs w:val="24"/>
        </w:rPr>
        <w:t>Goodson v. Am. Std. Ins. Co.</w:t>
      </w:r>
      <w:r w:rsidRPr="00407AAB">
        <w:rPr>
          <w:rFonts w:eastAsia="Times New Roman"/>
          <w:sz w:val="24"/>
          <w:szCs w:val="24"/>
        </w:rPr>
        <w:t xml:space="preserve">, 89 P.3d 409 (Colo. 2004); </w:t>
      </w:r>
      <w:r w:rsidRPr="00407AAB">
        <w:rPr>
          <w:rFonts w:eastAsia="Times New Roman"/>
          <w:b/>
          <w:sz w:val="24"/>
          <w:szCs w:val="24"/>
        </w:rPr>
        <w:t>Savio</w:t>
      </w:r>
      <w:r w:rsidRPr="00407AAB">
        <w:rPr>
          <w:rFonts w:eastAsia="Times New Roman"/>
          <w:sz w:val="24"/>
          <w:szCs w:val="24"/>
        </w:rPr>
        <w:t xml:space="preserve">, 706 P.2d at 1275. If the industry standard at issue is one that is within the common knowledge and experience of ordinary people, expert testimony is not required to establish those standards. </w:t>
      </w:r>
      <w:r w:rsidRPr="00407AAB">
        <w:rPr>
          <w:rFonts w:eastAsia="Times New Roman"/>
          <w:b/>
          <w:sz w:val="24"/>
          <w:szCs w:val="24"/>
        </w:rPr>
        <w:t>Allen</w:t>
      </w:r>
      <w:r w:rsidRPr="00407AAB">
        <w:rPr>
          <w:rFonts w:eastAsia="Times New Roman"/>
          <w:sz w:val="24"/>
          <w:szCs w:val="24"/>
        </w:rPr>
        <w:t xml:space="preserve">, 102 P.3d at 343 (reasonableness of insurer’s investigation into underlying events of automobile insurance claim was not technical question and did not require additional professional training beyond knowledge of average juror, nor did determination of what constitutes reasonable explanation for denying claim); </w:t>
      </w:r>
      <w:r w:rsidRPr="00407AAB">
        <w:rPr>
          <w:rFonts w:eastAsia="Times New Roman"/>
          <w:b/>
          <w:sz w:val="24"/>
          <w:szCs w:val="24"/>
        </w:rPr>
        <w:t>Surdyka v. DeWitt</w:t>
      </w:r>
      <w:r w:rsidRPr="00407AAB">
        <w:rPr>
          <w:rFonts w:eastAsia="Times New Roman"/>
          <w:sz w:val="24"/>
          <w:szCs w:val="24"/>
        </w:rPr>
        <w:t xml:space="preserve">, 784 P.2d 819, 822 (Colo. App. 1989) (if the “standard of care involves questions beyond that competence of ordinary persons, expert testimony may be required,” but not if the standard is within “the knowledge and experience of the average juror”); </w:t>
      </w:r>
      <w:r w:rsidRPr="00407AAB">
        <w:rPr>
          <w:rFonts w:eastAsia="Times New Roman"/>
          <w:i/>
          <w:sz w:val="24"/>
          <w:szCs w:val="24"/>
        </w:rPr>
        <w:t>see also</w:t>
      </w:r>
      <w:r w:rsidRPr="00407AAB">
        <w:rPr>
          <w:rFonts w:eastAsia="Times New Roman"/>
          <w:sz w:val="24"/>
          <w:szCs w:val="24"/>
        </w:rPr>
        <w:t xml:space="preserve"> Instruction 25:6, Source and Authority ¶ 2 . An affidavit of an insurance expert that simply states conclusory opinions cannot create an issue of material fact to avoid summary judgment. </w:t>
      </w:r>
      <w:r w:rsidRPr="00407AAB">
        <w:rPr>
          <w:rFonts w:eastAsia="Times New Roman"/>
          <w:b/>
          <w:sz w:val="24"/>
          <w:szCs w:val="24"/>
        </w:rPr>
        <w:t>Zolman v. Pinnacol Assur.</w:t>
      </w:r>
      <w:r w:rsidRPr="00407AAB">
        <w:rPr>
          <w:rFonts w:eastAsia="Times New Roman"/>
          <w:sz w:val="24"/>
          <w:szCs w:val="24"/>
        </w:rPr>
        <w:t>, 261 P.3d 490 (Colo. App. 2011) (expert affidavit did not preclude summary judgment for insurer on issue of fair debatability).</w:t>
      </w:r>
    </w:p>
    <w:p w14:paraId="4565B06C" w14:textId="28E4409D" w:rsidR="00A5610D" w:rsidRDefault="00407AAB" w:rsidP="00407AAB">
      <w:pPr>
        <w:spacing w:after="240"/>
        <w:ind w:firstLine="720"/>
        <w:rPr>
          <w:rFonts w:eastAsia="Times New Roman"/>
          <w:sz w:val="24"/>
          <w:szCs w:val="24"/>
        </w:rPr>
      </w:pPr>
      <w:r w:rsidRPr="00407AAB">
        <w:rPr>
          <w:rFonts w:eastAsia="Times New Roman"/>
          <w:sz w:val="24"/>
          <w:szCs w:val="24"/>
        </w:rPr>
        <w:lastRenderedPageBreak/>
        <w:t xml:space="preserve">3. </w:t>
      </w:r>
      <w:r w:rsidR="00876A05" w:rsidRPr="00876A05">
        <w:rPr>
          <w:rFonts w:eastAsia="Times New Roman"/>
          <w:sz w:val="24"/>
          <w:szCs w:val="24"/>
        </w:rPr>
        <w:t>An insurer’s implied duty of good faith and fair dealing extends to the advertisement, marketing, and purchase of insurance policies, and whether the insurer breached this duty is determined objectively based on industry standards, including administrative rules and regulations</w:t>
      </w:r>
      <w:r w:rsidR="00A5610D">
        <w:rPr>
          <w:rFonts w:eastAsia="Times New Roman"/>
          <w:sz w:val="24"/>
          <w:szCs w:val="24"/>
        </w:rPr>
        <w:t xml:space="preserve">, which </w:t>
      </w:r>
      <w:r w:rsidR="00876A05" w:rsidRPr="00876A05">
        <w:rPr>
          <w:rFonts w:eastAsia="Times New Roman"/>
          <w:sz w:val="24"/>
          <w:szCs w:val="24"/>
        </w:rPr>
        <w:t xml:space="preserve">may assist in establishing those standards. </w:t>
      </w:r>
      <w:r w:rsidR="00CB13C1" w:rsidRPr="00CB13C1">
        <w:rPr>
          <w:rFonts w:eastAsia="Times New Roman"/>
          <w:b/>
          <w:sz w:val="24"/>
          <w:szCs w:val="24"/>
        </w:rPr>
        <w:t xml:space="preserve">Estate of </w:t>
      </w:r>
      <w:r w:rsidR="00876A05" w:rsidRPr="00A5610D">
        <w:rPr>
          <w:rFonts w:eastAsia="Times New Roman"/>
          <w:b/>
          <w:sz w:val="24"/>
          <w:szCs w:val="24"/>
        </w:rPr>
        <w:t>Casper v. Guar</w:t>
      </w:r>
      <w:r w:rsidR="00A5610D">
        <w:rPr>
          <w:rFonts w:eastAsia="Times New Roman"/>
          <w:b/>
          <w:sz w:val="24"/>
          <w:szCs w:val="24"/>
        </w:rPr>
        <w:t>.</w:t>
      </w:r>
      <w:r w:rsidR="00876A05" w:rsidRPr="00A5610D">
        <w:rPr>
          <w:rFonts w:eastAsia="Times New Roman"/>
          <w:b/>
          <w:sz w:val="24"/>
          <w:szCs w:val="24"/>
        </w:rPr>
        <w:t xml:space="preserve"> Tr</w:t>
      </w:r>
      <w:r w:rsidR="00A5610D">
        <w:rPr>
          <w:rFonts w:eastAsia="Times New Roman"/>
          <w:b/>
          <w:sz w:val="24"/>
          <w:szCs w:val="24"/>
        </w:rPr>
        <w:t>.</w:t>
      </w:r>
      <w:r w:rsidR="00876A05" w:rsidRPr="00A5610D">
        <w:rPr>
          <w:rFonts w:eastAsia="Times New Roman"/>
          <w:b/>
          <w:sz w:val="24"/>
          <w:szCs w:val="24"/>
        </w:rPr>
        <w:t xml:space="preserve"> Life Ins. Co.</w:t>
      </w:r>
      <w:r w:rsidR="00A5610D">
        <w:rPr>
          <w:rFonts w:eastAsia="Times New Roman"/>
          <w:sz w:val="24"/>
          <w:szCs w:val="24"/>
        </w:rPr>
        <w:t>, 2016 COA 167, ¶</w:t>
      </w:r>
      <w:r w:rsidR="00BA77D6">
        <w:rPr>
          <w:rFonts w:eastAsia="Times New Roman"/>
          <w:sz w:val="24"/>
          <w:szCs w:val="24"/>
        </w:rPr>
        <w:t>¶</w:t>
      </w:r>
      <w:r w:rsidR="00A5610D">
        <w:rPr>
          <w:rFonts w:eastAsia="Times New Roman"/>
          <w:sz w:val="24"/>
          <w:szCs w:val="24"/>
        </w:rPr>
        <w:t xml:space="preserve"> 74</w:t>
      </w:r>
      <w:r w:rsidR="00BA77D6">
        <w:rPr>
          <w:rFonts w:eastAsia="Times New Roman"/>
          <w:sz w:val="24"/>
          <w:szCs w:val="24"/>
        </w:rPr>
        <w:t>, 76</w:t>
      </w:r>
      <w:r w:rsidR="00211BAE">
        <w:rPr>
          <w:rFonts w:eastAsia="Times New Roman"/>
          <w:sz w:val="24"/>
          <w:szCs w:val="24"/>
        </w:rPr>
        <w:t>, 421 P.3d 1184, 1198</w:t>
      </w:r>
      <w:r w:rsidR="00A5610D">
        <w:rPr>
          <w:rFonts w:eastAsia="Times New Roman"/>
          <w:sz w:val="24"/>
          <w:szCs w:val="24"/>
        </w:rPr>
        <w:t xml:space="preserve"> (a</w:t>
      </w:r>
      <w:r w:rsidR="00876A05" w:rsidRPr="00876A05">
        <w:rPr>
          <w:rFonts w:eastAsia="Times New Roman"/>
          <w:sz w:val="24"/>
          <w:szCs w:val="24"/>
        </w:rPr>
        <w:t xml:space="preserve">pproving an instruction </w:t>
      </w:r>
      <w:r w:rsidR="00A5610D">
        <w:rPr>
          <w:rFonts w:eastAsia="Times New Roman"/>
          <w:sz w:val="24"/>
          <w:szCs w:val="24"/>
        </w:rPr>
        <w:t>containing</w:t>
      </w:r>
      <w:r w:rsidR="00876A05" w:rsidRPr="00876A05">
        <w:rPr>
          <w:rFonts w:eastAsia="Times New Roman"/>
          <w:sz w:val="24"/>
          <w:szCs w:val="24"/>
        </w:rPr>
        <w:t xml:space="preserve"> excerpts from an insurance regulation governing the advertising and sale of defendant’s policy </w:t>
      </w:r>
      <w:r w:rsidR="00BA77D6">
        <w:rPr>
          <w:rFonts w:eastAsia="Times New Roman"/>
          <w:sz w:val="24"/>
          <w:szCs w:val="24"/>
        </w:rPr>
        <w:t>that stated</w:t>
      </w:r>
      <w:r w:rsidR="00A5610D">
        <w:rPr>
          <w:rFonts w:eastAsia="Times New Roman"/>
          <w:sz w:val="24"/>
          <w:szCs w:val="24"/>
        </w:rPr>
        <w:t xml:space="preserve"> </w:t>
      </w:r>
      <w:r w:rsidR="00876A05" w:rsidRPr="00876A05">
        <w:rPr>
          <w:rFonts w:eastAsia="Times New Roman"/>
          <w:sz w:val="24"/>
          <w:szCs w:val="24"/>
        </w:rPr>
        <w:t xml:space="preserve">the </w:t>
      </w:r>
      <w:r w:rsidR="00BA77D6">
        <w:rPr>
          <w:rFonts w:eastAsia="Times New Roman"/>
          <w:sz w:val="24"/>
          <w:szCs w:val="24"/>
        </w:rPr>
        <w:t>“</w:t>
      </w:r>
      <w:r w:rsidR="00876A05" w:rsidRPr="00876A05">
        <w:rPr>
          <w:rFonts w:eastAsia="Times New Roman"/>
          <w:sz w:val="24"/>
          <w:szCs w:val="24"/>
        </w:rPr>
        <w:t>regulation</w:t>
      </w:r>
      <w:r w:rsidR="00BA77D6">
        <w:rPr>
          <w:rFonts w:eastAsia="Times New Roman"/>
          <w:sz w:val="24"/>
          <w:szCs w:val="24"/>
        </w:rPr>
        <w:t>s</w:t>
      </w:r>
      <w:r w:rsidR="00876A05" w:rsidRPr="00876A05">
        <w:rPr>
          <w:rFonts w:eastAsia="Times New Roman"/>
          <w:sz w:val="24"/>
          <w:szCs w:val="24"/>
        </w:rPr>
        <w:t xml:space="preserve"> a</w:t>
      </w:r>
      <w:r w:rsidR="00BA77D6">
        <w:rPr>
          <w:rFonts w:eastAsia="Times New Roman"/>
          <w:sz w:val="24"/>
          <w:szCs w:val="24"/>
        </w:rPr>
        <w:t>re</w:t>
      </w:r>
      <w:r w:rsidR="00876A05" w:rsidRPr="00876A05">
        <w:rPr>
          <w:rFonts w:eastAsia="Times New Roman"/>
          <w:sz w:val="24"/>
          <w:szCs w:val="24"/>
        </w:rPr>
        <w:t xml:space="preserve"> valid</w:t>
      </w:r>
      <w:r w:rsidR="00BA77D6">
        <w:rPr>
          <w:rFonts w:eastAsia="Times New Roman"/>
          <w:sz w:val="24"/>
          <w:szCs w:val="24"/>
        </w:rPr>
        <w:t>,</w:t>
      </w:r>
      <w:r w:rsidR="00876A05" w:rsidRPr="00876A05">
        <w:rPr>
          <w:rFonts w:eastAsia="Times New Roman"/>
          <w:sz w:val="24"/>
          <w:szCs w:val="24"/>
        </w:rPr>
        <w:t xml:space="preserve"> </w:t>
      </w:r>
      <w:r w:rsidR="00BA77D6">
        <w:rPr>
          <w:rFonts w:eastAsia="Times New Roman"/>
          <w:sz w:val="24"/>
          <w:szCs w:val="24"/>
        </w:rPr>
        <w:t xml:space="preserve">but </w:t>
      </w:r>
      <w:r w:rsidR="00876A05" w:rsidRPr="00876A05">
        <w:rPr>
          <w:rFonts w:eastAsia="Times New Roman"/>
          <w:sz w:val="24"/>
          <w:szCs w:val="24"/>
        </w:rPr>
        <w:t xml:space="preserve">not conclusive evidence of </w:t>
      </w:r>
      <w:r w:rsidR="00BA77D6">
        <w:rPr>
          <w:rFonts w:eastAsia="Times New Roman"/>
          <w:sz w:val="24"/>
          <w:szCs w:val="24"/>
        </w:rPr>
        <w:t xml:space="preserve">insurance </w:t>
      </w:r>
      <w:r w:rsidR="00876A05" w:rsidRPr="00876A05">
        <w:rPr>
          <w:rFonts w:eastAsia="Times New Roman"/>
          <w:sz w:val="24"/>
          <w:szCs w:val="24"/>
        </w:rPr>
        <w:t>industry standards</w:t>
      </w:r>
      <w:r w:rsidR="00BA77D6">
        <w:rPr>
          <w:rFonts w:eastAsia="Times New Roman"/>
          <w:sz w:val="24"/>
          <w:szCs w:val="24"/>
        </w:rPr>
        <w:t>”</w:t>
      </w:r>
      <w:r w:rsidR="00876A05" w:rsidRPr="00876A05">
        <w:rPr>
          <w:rFonts w:eastAsia="Times New Roman"/>
          <w:sz w:val="24"/>
          <w:szCs w:val="24"/>
        </w:rPr>
        <w:t>)</w:t>
      </w:r>
      <w:r w:rsidR="00BA77D6">
        <w:rPr>
          <w:rFonts w:eastAsia="Times New Roman"/>
          <w:sz w:val="24"/>
          <w:szCs w:val="24"/>
        </w:rPr>
        <w:t xml:space="preserve">, </w:t>
      </w:r>
      <w:r w:rsidR="00BA77D6" w:rsidRPr="00BA77D6">
        <w:rPr>
          <w:rFonts w:eastAsia="Times New Roman"/>
          <w:i/>
          <w:sz w:val="24"/>
          <w:szCs w:val="24"/>
        </w:rPr>
        <w:t>aff’d in part, rev’d in part on other grounds</w:t>
      </w:r>
      <w:r w:rsidR="00BA77D6">
        <w:rPr>
          <w:rFonts w:eastAsia="Times New Roman"/>
          <w:sz w:val="24"/>
          <w:szCs w:val="24"/>
        </w:rPr>
        <w:t>, 2018 CO 43, 418 P.3d 1163</w:t>
      </w:r>
      <w:r w:rsidR="00876A05" w:rsidRPr="00876A05">
        <w:rPr>
          <w:rFonts w:eastAsia="Times New Roman"/>
          <w:sz w:val="24"/>
          <w:szCs w:val="24"/>
        </w:rPr>
        <w:t>.</w:t>
      </w:r>
      <w:r w:rsidR="00A5610D">
        <w:rPr>
          <w:rFonts w:eastAsia="Times New Roman"/>
          <w:sz w:val="24"/>
          <w:szCs w:val="24"/>
        </w:rPr>
        <w:t xml:space="preserve"> </w:t>
      </w:r>
    </w:p>
    <w:p w14:paraId="692DEFDB" w14:textId="77777777" w:rsidR="00407AAB" w:rsidRPr="00407AAB" w:rsidRDefault="00A5610D" w:rsidP="00407AAB">
      <w:pPr>
        <w:spacing w:after="240"/>
        <w:ind w:firstLine="720"/>
        <w:rPr>
          <w:rFonts w:eastAsia="Times New Roman"/>
          <w:sz w:val="24"/>
          <w:szCs w:val="24"/>
        </w:rPr>
      </w:pPr>
      <w:r>
        <w:rPr>
          <w:rFonts w:eastAsia="Times New Roman"/>
          <w:sz w:val="24"/>
          <w:szCs w:val="24"/>
        </w:rPr>
        <w:t xml:space="preserve">4. </w:t>
      </w:r>
      <w:r w:rsidR="00407AAB" w:rsidRPr="00407AAB">
        <w:rPr>
          <w:rFonts w:eastAsia="Times New Roman"/>
          <w:sz w:val="24"/>
          <w:szCs w:val="24"/>
        </w:rPr>
        <w:t xml:space="preserve">A claim based upon the unreasonable conduct of an insurance carrier arises at the time that conduct occurs. </w:t>
      </w:r>
      <w:r w:rsidR="00407AAB" w:rsidRPr="00407AAB">
        <w:rPr>
          <w:rFonts w:eastAsia="Times New Roman"/>
          <w:b/>
          <w:sz w:val="24"/>
          <w:szCs w:val="24"/>
        </w:rPr>
        <w:t>Bernhard v. Farmers Ins. Exch.</w:t>
      </w:r>
      <w:r w:rsidR="00407AAB" w:rsidRPr="00407AAB">
        <w:rPr>
          <w:rFonts w:eastAsia="Times New Roman"/>
          <w:sz w:val="24"/>
          <w:szCs w:val="24"/>
        </w:rPr>
        <w:t xml:space="preserve">, 885 P.2d 265 (Colo. App. 1994), </w:t>
      </w:r>
      <w:r w:rsidR="00407AAB" w:rsidRPr="00407AAB">
        <w:rPr>
          <w:rFonts w:eastAsia="Times New Roman"/>
          <w:i/>
          <w:sz w:val="24"/>
          <w:szCs w:val="24"/>
        </w:rPr>
        <w:t>aff’d on other grounds</w:t>
      </w:r>
      <w:r w:rsidR="00407AAB" w:rsidRPr="00407AAB">
        <w:rPr>
          <w:rFonts w:eastAsia="Times New Roman"/>
          <w:sz w:val="24"/>
          <w:szCs w:val="24"/>
        </w:rPr>
        <w:t>, 915 P.2d 1285 (Colo. 1996). The fact that an insurer ultimately pays the covered benefit due does not “cure” pre-payment unreasonable conduct. </w:t>
      </w:r>
      <w:r w:rsidR="00407AAB" w:rsidRPr="00407AAB">
        <w:rPr>
          <w:rFonts w:eastAsia="Times New Roman"/>
          <w:b/>
          <w:bCs/>
          <w:sz w:val="24"/>
          <w:szCs w:val="24"/>
        </w:rPr>
        <w:t>Goodson</w:t>
      </w:r>
      <w:r w:rsidR="00407AAB" w:rsidRPr="00407AAB">
        <w:rPr>
          <w:rFonts w:eastAsia="Times New Roman"/>
          <w:sz w:val="24"/>
          <w:szCs w:val="24"/>
        </w:rPr>
        <w:t xml:space="preserve">, 89 P.3d at 414 (citing </w:t>
      </w:r>
      <w:r w:rsidR="00407AAB" w:rsidRPr="00407AAB">
        <w:rPr>
          <w:rFonts w:eastAsia="Times New Roman"/>
          <w:b/>
          <w:bCs/>
          <w:sz w:val="24"/>
          <w:szCs w:val="24"/>
        </w:rPr>
        <w:t>Trimble</w:t>
      </w:r>
      <w:r w:rsidR="00407AAB" w:rsidRPr="00407AAB">
        <w:rPr>
          <w:rFonts w:eastAsia="Times New Roman"/>
          <w:sz w:val="24"/>
          <w:szCs w:val="24"/>
        </w:rPr>
        <w:t>, 691 P.2d at 1142).</w:t>
      </w:r>
    </w:p>
    <w:p w14:paraId="22578F7C" w14:textId="46712CF2" w:rsidR="00407AAB" w:rsidRPr="00407AAB" w:rsidRDefault="00A5610D" w:rsidP="00407AAB">
      <w:pPr>
        <w:spacing w:after="240"/>
        <w:ind w:firstLine="720"/>
        <w:rPr>
          <w:rFonts w:eastAsia="Times New Roman"/>
          <w:b/>
          <w:sz w:val="24"/>
          <w:szCs w:val="24"/>
        </w:rPr>
      </w:pPr>
      <w:r>
        <w:rPr>
          <w:rFonts w:eastAsia="Times New Roman"/>
          <w:sz w:val="24"/>
          <w:szCs w:val="24"/>
        </w:rPr>
        <w:t>5</w:t>
      </w:r>
      <w:r w:rsidR="00407AAB" w:rsidRPr="00407AAB">
        <w:rPr>
          <w:rFonts w:eastAsia="Times New Roman"/>
          <w:sz w:val="24"/>
          <w:szCs w:val="24"/>
        </w:rPr>
        <w:t xml:space="preserve">. “Unreasonable conduct” may occur before, during, or after trial. </w:t>
      </w:r>
      <w:r w:rsidR="00407AAB" w:rsidRPr="00407AAB">
        <w:rPr>
          <w:rFonts w:eastAsia="Times New Roman"/>
          <w:b/>
          <w:sz w:val="24"/>
          <w:szCs w:val="24"/>
        </w:rPr>
        <w:t>Bankr. Estate of Morris</w:t>
      </w:r>
      <w:r w:rsidR="00407AAB" w:rsidRPr="00407AAB">
        <w:rPr>
          <w:rFonts w:eastAsia="Times New Roman"/>
          <w:sz w:val="24"/>
          <w:szCs w:val="24"/>
        </w:rPr>
        <w:t>,</w:t>
      </w:r>
      <w:r w:rsidR="00407AAB" w:rsidRPr="00407AAB">
        <w:rPr>
          <w:rFonts w:eastAsia="Times New Roman"/>
          <w:i/>
          <w:sz w:val="24"/>
          <w:szCs w:val="24"/>
        </w:rPr>
        <w:t xml:space="preserve"> </w:t>
      </w:r>
      <w:r w:rsidR="00407AAB" w:rsidRPr="00407AAB">
        <w:rPr>
          <w:rFonts w:eastAsia="Times New Roman"/>
          <w:sz w:val="24"/>
          <w:szCs w:val="24"/>
        </w:rPr>
        <w:t>192 P.3d 524-25 (discussing factors to be considered in assessing whether liability insurer failed to protect its insured by settling a third-party claim before or during trial and after excess judgment entered against its insured). “Each bad faith act constitutes a separate and distinct tortious act, on which the statute of limitation begins to run anew when the plaintiff becomes aware of the injury and its cause.”</w:t>
      </w:r>
      <w:r w:rsidR="00407AAB" w:rsidRPr="00407AAB">
        <w:rPr>
          <w:rFonts w:eastAsia="Times New Roman"/>
          <w:b/>
          <w:sz w:val="24"/>
          <w:szCs w:val="24"/>
        </w:rPr>
        <w:t xml:space="preserve"> Cork v. Sentry Ins.</w:t>
      </w:r>
      <w:r w:rsidR="00407AAB" w:rsidRPr="00407AAB">
        <w:rPr>
          <w:rFonts w:eastAsia="Times New Roman"/>
          <w:sz w:val="24"/>
          <w:szCs w:val="24"/>
        </w:rPr>
        <w:t>,</w:t>
      </w:r>
      <w:r w:rsidR="00407AAB" w:rsidRPr="00407AAB">
        <w:rPr>
          <w:rFonts w:eastAsia="Times New Roman"/>
          <w:b/>
          <w:sz w:val="24"/>
          <w:szCs w:val="24"/>
        </w:rPr>
        <w:t xml:space="preserve"> </w:t>
      </w:r>
      <w:r w:rsidR="00407AAB" w:rsidRPr="00407AAB">
        <w:rPr>
          <w:rFonts w:eastAsia="Times New Roman"/>
          <w:sz w:val="24"/>
          <w:szCs w:val="24"/>
        </w:rPr>
        <w:t>194 P.3d 422, 427 (Colo. App. 2008).</w:t>
      </w:r>
    </w:p>
    <w:p w14:paraId="1428433E" w14:textId="6727FAC9" w:rsidR="00407AAB" w:rsidRPr="00407AAB" w:rsidRDefault="00A5610D" w:rsidP="00407AAB">
      <w:pPr>
        <w:spacing w:after="240"/>
        <w:ind w:firstLine="720"/>
        <w:rPr>
          <w:rFonts w:eastAsia="Times New Roman"/>
          <w:sz w:val="24"/>
          <w:szCs w:val="24"/>
        </w:rPr>
      </w:pPr>
      <w:r>
        <w:rPr>
          <w:rFonts w:eastAsia="Times New Roman"/>
          <w:sz w:val="24"/>
          <w:szCs w:val="24"/>
        </w:rPr>
        <w:t>6</w:t>
      </w:r>
      <w:r w:rsidR="00407AAB" w:rsidRPr="00407AAB">
        <w:rPr>
          <w:rFonts w:eastAsia="Times New Roman"/>
          <w:sz w:val="24"/>
          <w:szCs w:val="24"/>
        </w:rPr>
        <w:t xml:space="preserve">. </w:t>
      </w:r>
      <w:r w:rsidR="006229FE">
        <w:rPr>
          <w:rFonts w:eastAsia="Times New Roman"/>
          <w:sz w:val="24"/>
          <w:szCs w:val="24"/>
        </w:rPr>
        <w:t xml:space="preserve">In claims arising under sections 10-3-1115 and </w:t>
      </w:r>
      <w:r w:rsidR="00F945CF">
        <w:rPr>
          <w:rFonts w:eastAsia="Times New Roman"/>
          <w:sz w:val="24"/>
          <w:szCs w:val="24"/>
        </w:rPr>
        <w:t>-</w:t>
      </w:r>
      <w:r w:rsidR="006229FE">
        <w:rPr>
          <w:rFonts w:eastAsia="Times New Roman"/>
          <w:sz w:val="24"/>
          <w:szCs w:val="24"/>
        </w:rPr>
        <w:t xml:space="preserve">1116, C.R.S., </w:t>
      </w:r>
      <w:r w:rsidR="003E604A" w:rsidRPr="001007E7">
        <w:rPr>
          <w:rFonts w:eastAsia="Times New Roman"/>
          <w:sz w:val="24"/>
          <w:szCs w:val="24"/>
        </w:rPr>
        <w:t>“</w:t>
      </w:r>
      <w:r w:rsidR="006229FE">
        <w:rPr>
          <w:rFonts w:eastAsia="Times New Roman"/>
          <w:sz w:val="24"/>
          <w:szCs w:val="24"/>
        </w:rPr>
        <w:t>f</w:t>
      </w:r>
      <w:r w:rsidR="003E604A" w:rsidRPr="001007E7">
        <w:rPr>
          <w:rFonts w:eastAsia="Times New Roman"/>
          <w:sz w:val="24"/>
          <w:szCs w:val="24"/>
        </w:rPr>
        <w:t xml:space="preserve">air debatability,” alone, cannot establish that an insurer’s delay or denial in paying a covered benefit was reasonable, as a matter of law. </w:t>
      </w:r>
      <w:r w:rsidR="003E604A" w:rsidRPr="001007E7">
        <w:rPr>
          <w:rFonts w:eastAsia="Times New Roman"/>
          <w:b/>
          <w:sz w:val="24"/>
          <w:szCs w:val="24"/>
        </w:rPr>
        <w:t xml:space="preserve">Vaccaro v. Am. Family Ins. Grp., </w:t>
      </w:r>
      <w:r w:rsidR="003E604A" w:rsidRPr="001007E7">
        <w:rPr>
          <w:rFonts w:eastAsia="Times New Roman"/>
          <w:sz w:val="24"/>
          <w:szCs w:val="24"/>
        </w:rPr>
        <w:t>2012 COA 9M, ¶¶ 42-44, 275 P.3d 750</w:t>
      </w:r>
      <w:r w:rsidR="003E604A">
        <w:rPr>
          <w:rFonts w:eastAsia="Times New Roman"/>
          <w:sz w:val="24"/>
          <w:szCs w:val="24"/>
        </w:rPr>
        <w:t xml:space="preserve">. </w:t>
      </w:r>
      <w:r w:rsidR="00407AAB" w:rsidRPr="00407AAB">
        <w:rPr>
          <w:rFonts w:eastAsia="Times New Roman"/>
          <w:sz w:val="24"/>
          <w:szCs w:val="24"/>
        </w:rPr>
        <w:t xml:space="preserve">First party claims that are “fairly debatable” are subject to challenge by an insurer, even if the decision to deny coverage ultimately turns out to be mistaken. </w:t>
      </w:r>
      <w:r w:rsidR="00407AAB" w:rsidRPr="00407AAB">
        <w:rPr>
          <w:rFonts w:eastAsia="Times New Roman"/>
          <w:b/>
          <w:sz w:val="24"/>
          <w:szCs w:val="24"/>
        </w:rPr>
        <w:t>Savio</w:t>
      </w:r>
      <w:r w:rsidR="00407AAB" w:rsidRPr="00407AAB">
        <w:rPr>
          <w:rFonts w:eastAsia="Times New Roman"/>
          <w:sz w:val="24"/>
          <w:szCs w:val="24"/>
        </w:rPr>
        <w:t xml:space="preserve">, 706 P.2d at 1275; </w:t>
      </w:r>
      <w:r w:rsidR="00407AAB" w:rsidRPr="00407AAB">
        <w:rPr>
          <w:rFonts w:eastAsia="Times New Roman"/>
          <w:b/>
          <w:sz w:val="24"/>
          <w:szCs w:val="24"/>
        </w:rPr>
        <w:t>Schuessler v. Wolter</w:t>
      </w:r>
      <w:r w:rsidR="00407AAB" w:rsidRPr="00407AAB">
        <w:rPr>
          <w:rFonts w:eastAsia="Times New Roman"/>
          <w:sz w:val="24"/>
          <w:szCs w:val="24"/>
        </w:rPr>
        <w:t xml:space="preserve">, 2012 COA 86, ¶ 37, 310 P.3d 151; </w:t>
      </w:r>
      <w:r w:rsidR="00407AAB" w:rsidRPr="00407AAB">
        <w:rPr>
          <w:rFonts w:eastAsia="Times New Roman"/>
          <w:b/>
          <w:sz w:val="24"/>
          <w:szCs w:val="24"/>
        </w:rPr>
        <w:t>Zolman</w:t>
      </w:r>
      <w:r w:rsidR="00407AAB" w:rsidRPr="00407AAB">
        <w:rPr>
          <w:rFonts w:eastAsia="Times New Roman"/>
          <w:sz w:val="24"/>
          <w:szCs w:val="24"/>
        </w:rPr>
        <w:t xml:space="preserve">, 261 P.3d at 497. “If an insurer does not know that its denial of a claim is unreasonable and does not act with reckless disregard of a valid claim, the insurer’s conduct would be based upon a permissible, albeit mistaken, belief that the claim is not compensable.” </w:t>
      </w:r>
      <w:r w:rsidR="00407AAB" w:rsidRPr="00407AAB">
        <w:rPr>
          <w:rFonts w:eastAsia="Times New Roman"/>
          <w:b/>
          <w:sz w:val="24"/>
          <w:szCs w:val="24"/>
        </w:rPr>
        <w:t>Pham v. State Farm Mut. Auto. Ins. Co.</w:t>
      </w:r>
      <w:r w:rsidR="00407AAB" w:rsidRPr="00407AAB">
        <w:rPr>
          <w:rFonts w:eastAsia="Times New Roman"/>
          <w:sz w:val="24"/>
          <w:szCs w:val="24"/>
        </w:rPr>
        <w:t xml:space="preserve">, 70 P.3d 567, 572 (Colo. App. 2003) (affirming summary judgment for uninsured motorist insurer on claims for bad faith and willful and wanton tortious breach of contract where coverage issues were complicated, debatable, undecided under state law, and reliance on statutory language and existing case law was reasonable). “[A]n insurer will be found to have acted in bad faith only if it has intentionally denied, failed to process, or failed to pay a claim without a reasonable basis.” </w:t>
      </w:r>
      <w:r w:rsidR="00407AAB" w:rsidRPr="00407AAB">
        <w:rPr>
          <w:rFonts w:eastAsia="Times New Roman"/>
          <w:b/>
          <w:sz w:val="24"/>
          <w:szCs w:val="24"/>
        </w:rPr>
        <w:t>Zolman</w:t>
      </w:r>
      <w:r w:rsidR="00407AAB" w:rsidRPr="00407AAB">
        <w:rPr>
          <w:rFonts w:eastAsia="Times New Roman"/>
          <w:sz w:val="24"/>
          <w:szCs w:val="24"/>
        </w:rPr>
        <w:t>, 261 P.3d at 497 (affirming summary judgment for workers’ compensation insurer and holding that various bases existed to support reasonableness of insurer’s denial of claimant’s requests for change of physician and additional treatment).</w:t>
      </w:r>
    </w:p>
    <w:p w14:paraId="67A86807" w14:textId="6164A495" w:rsidR="00407AAB" w:rsidRPr="00407AAB" w:rsidRDefault="00A5610D" w:rsidP="00407AAB">
      <w:pPr>
        <w:spacing w:after="240"/>
        <w:ind w:firstLine="720"/>
        <w:rPr>
          <w:rFonts w:eastAsia="Times New Roman"/>
          <w:sz w:val="24"/>
          <w:szCs w:val="24"/>
        </w:rPr>
      </w:pPr>
      <w:r>
        <w:rPr>
          <w:rFonts w:eastAsia="Times New Roman"/>
          <w:sz w:val="24"/>
          <w:szCs w:val="24"/>
        </w:rPr>
        <w:t>7</w:t>
      </w:r>
      <w:r w:rsidR="00407AAB" w:rsidRPr="00407AAB">
        <w:rPr>
          <w:rFonts w:eastAsia="Times New Roman"/>
          <w:sz w:val="24"/>
          <w:szCs w:val="24"/>
        </w:rPr>
        <w:t xml:space="preserve">. That a claim is “fairly debatable” weighs against a finding of bad faith; however, without more, this factor is not outcome-determinative and, thus, is not “necessarily sufficient to defeat a bad faith claim as a matter of law.” </w:t>
      </w:r>
      <w:r w:rsidR="00407AAB" w:rsidRPr="00407AAB">
        <w:rPr>
          <w:rFonts w:eastAsia="Times New Roman"/>
          <w:b/>
          <w:sz w:val="24"/>
          <w:szCs w:val="24"/>
        </w:rPr>
        <w:t>Sanderson v. Am. Family Mut. Ins. Co.</w:t>
      </w:r>
      <w:r w:rsidR="00407AAB" w:rsidRPr="00407AAB">
        <w:rPr>
          <w:rFonts w:eastAsia="Times New Roman"/>
          <w:sz w:val="24"/>
          <w:szCs w:val="24"/>
        </w:rPr>
        <w:t xml:space="preserve">, 251 P.3d 1213, 1217 (Colo. App. 2010) (disagreeing with trial court’s conclusion that the presence of a “fairly debatable” issue, alone, justified summary judgment for insurer as a matter of law, but applying that standard to affirm the judgment below); </w:t>
      </w:r>
      <w:r w:rsidR="00407AAB" w:rsidRPr="00407AAB">
        <w:rPr>
          <w:rFonts w:eastAsia="Times New Roman"/>
          <w:i/>
          <w:sz w:val="24"/>
          <w:szCs w:val="24"/>
        </w:rPr>
        <w:t>accord</w:t>
      </w:r>
      <w:r w:rsidR="00407AAB" w:rsidRPr="00407AAB">
        <w:rPr>
          <w:rFonts w:eastAsia="Times New Roman"/>
          <w:b/>
          <w:sz w:val="24"/>
          <w:szCs w:val="24"/>
        </w:rPr>
        <w:t xml:space="preserve"> Schuessler</w:t>
      </w:r>
      <w:r w:rsidR="00407AAB" w:rsidRPr="00407AAB">
        <w:rPr>
          <w:rFonts w:eastAsia="Times New Roman"/>
          <w:sz w:val="24"/>
          <w:szCs w:val="24"/>
        </w:rPr>
        <w:t>, ¶ 38</w:t>
      </w:r>
      <w:r w:rsidR="007571AF">
        <w:rPr>
          <w:rFonts w:eastAsia="Times New Roman"/>
          <w:sz w:val="24"/>
          <w:szCs w:val="24"/>
        </w:rPr>
        <w:t>, 310 P.3d at 162</w:t>
      </w:r>
      <w:r w:rsidR="00407AAB" w:rsidRPr="00407AAB">
        <w:rPr>
          <w:rFonts w:eastAsia="Times New Roman"/>
          <w:sz w:val="24"/>
          <w:szCs w:val="24"/>
        </w:rPr>
        <w:t>.</w:t>
      </w:r>
    </w:p>
    <w:p w14:paraId="42ABD1D3" w14:textId="302A10CD" w:rsidR="00407AAB" w:rsidRPr="00407AAB" w:rsidRDefault="00A5610D" w:rsidP="00407AAB">
      <w:pPr>
        <w:spacing w:after="240"/>
        <w:ind w:firstLine="720"/>
        <w:rPr>
          <w:rFonts w:eastAsia="Times New Roman"/>
          <w:sz w:val="24"/>
          <w:szCs w:val="24"/>
        </w:rPr>
      </w:pPr>
      <w:r>
        <w:rPr>
          <w:rFonts w:eastAsia="Times New Roman"/>
          <w:sz w:val="24"/>
          <w:szCs w:val="24"/>
        </w:rPr>
        <w:lastRenderedPageBreak/>
        <w:t>8</w:t>
      </w:r>
      <w:r w:rsidR="00407AAB" w:rsidRPr="00407AAB">
        <w:rPr>
          <w:rFonts w:eastAsia="Times New Roman"/>
          <w:sz w:val="24"/>
          <w:szCs w:val="24"/>
        </w:rPr>
        <w:t xml:space="preserve">. If an insurer lacks a “reasonable basis” to deny a claim, the claim is not “fairly debatable.” </w:t>
      </w:r>
      <w:r w:rsidR="00407AAB" w:rsidRPr="00407AAB">
        <w:rPr>
          <w:rFonts w:eastAsia="Times New Roman"/>
          <w:b/>
          <w:sz w:val="24"/>
          <w:szCs w:val="24"/>
        </w:rPr>
        <w:t>Geiger v. Am. Std. Ins. Co.</w:t>
      </w:r>
      <w:r w:rsidR="00407AAB" w:rsidRPr="00407AAB">
        <w:rPr>
          <w:rFonts w:eastAsia="Times New Roman"/>
          <w:sz w:val="24"/>
          <w:szCs w:val="24"/>
        </w:rPr>
        <w:t>,</w:t>
      </w:r>
      <w:r w:rsidR="00407AAB" w:rsidRPr="00407AAB">
        <w:rPr>
          <w:rFonts w:eastAsia="Times New Roman"/>
          <w:i/>
          <w:sz w:val="24"/>
          <w:szCs w:val="24"/>
        </w:rPr>
        <w:t xml:space="preserve"> </w:t>
      </w:r>
      <w:r w:rsidR="00407AAB" w:rsidRPr="00407AAB">
        <w:rPr>
          <w:rFonts w:eastAsia="Times New Roman"/>
          <w:sz w:val="24"/>
          <w:szCs w:val="24"/>
        </w:rPr>
        <w:t>192 P.3d 480 (Colo. App. 2008) (citing</w:t>
      </w:r>
      <w:r w:rsidR="00407AAB" w:rsidRPr="00407AAB">
        <w:rPr>
          <w:rFonts w:eastAsia="Times New Roman"/>
          <w:i/>
          <w:sz w:val="24"/>
          <w:szCs w:val="24"/>
        </w:rPr>
        <w:t xml:space="preserve"> </w:t>
      </w:r>
      <w:r w:rsidR="00407AAB" w:rsidRPr="00407AAB">
        <w:rPr>
          <w:rFonts w:eastAsia="Times New Roman"/>
          <w:b/>
          <w:sz w:val="24"/>
          <w:szCs w:val="24"/>
        </w:rPr>
        <w:t>Savio</w:t>
      </w:r>
      <w:r w:rsidR="00407AAB" w:rsidRPr="00407AAB">
        <w:rPr>
          <w:rFonts w:eastAsia="Times New Roman"/>
          <w:sz w:val="24"/>
          <w:szCs w:val="24"/>
        </w:rPr>
        <w:t>, 706 P.2d at 1275). Where an insurance policy clearly and unambiguously defines an insured’s rights, an insurer may not disregard the plain meaning of contract terms, read additional “common sense” terms into the policy, or claim that an interpretation of an unambiguous terms is a “novel” theory of coverage to create a “fairly debatable” issue defense.</w:t>
      </w:r>
      <w:r w:rsidR="00407AAB" w:rsidRPr="00407AAB">
        <w:rPr>
          <w:rFonts w:eastAsia="Times New Roman"/>
          <w:i/>
          <w:sz w:val="24"/>
          <w:szCs w:val="24"/>
        </w:rPr>
        <w:t xml:space="preserve"> Id. </w:t>
      </w:r>
      <w:r w:rsidR="00407AAB" w:rsidRPr="00407AAB">
        <w:rPr>
          <w:rFonts w:eastAsia="Times New Roman"/>
          <w:sz w:val="24"/>
          <w:szCs w:val="24"/>
        </w:rPr>
        <w:t xml:space="preserve">at 484. Likewise, a trial court’s ruling that disregards the plain meaning of the insurance policy and controlling rules of law cannot create a “fairly debatable” issue as to coverage. </w:t>
      </w:r>
      <w:r w:rsidR="00407AAB" w:rsidRPr="00407AAB">
        <w:rPr>
          <w:rFonts w:eastAsia="Times New Roman"/>
          <w:i/>
          <w:sz w:val="24"/>
          <w:szCs w:val="24"/>
        </w:rPr>
        <w:t>Id.</w:t>
      </w:r>
    </w:p>
    <w:p w14:paraId="549D5A1A" w14:textId="77777777" w:rsidR="00101A07" w:rsidRDefault="00101A07">
      <w:pPr>
        <w:rPr>
          <w:rFonts w:eastAsia="Times New Roman"/>
          <w:sz w:val="24"/>
          <w:szCs w:val="24"/>
        </w:rPr>
      </w:pPr>
      <w:r>
        <w:rPr>
          <w:rFonts w:eastAsia="Times New Roman"/>
          <w:sz w:val="24"/>
          <w:szCs w:val="24"/>
        </w:rPr>
        <w:br w:type="page"/>
      </w:r>
    </w:p>
    <w:p w14:paraId="3396781B" w14:textId="77777777" w:rsidR="00101A07" w:rsidRPr="009E3DA4" w:rsidRDefault="00101A07" w:rsidP="00101A07">
      <w:pPr>
        <w:spacing w:after="240"/>
        <w:ind w:left="720" w:hanging="720"/>
        <w:rPr>
          <w:rFonts w:eastAsia="Times New Roman"/>
          <w:b/>
          <w:sz w:val="24"/>
          <w:szCs w:val="24"/>
        </w:rPr>
      </w:pPr>
      <w:bookmarkStart w:id="3" w:name="a25_04"/>
      <w:bookmarkEnd w:id="3"/>
      <w:r w:rsidRPr="00101A07">
        <w:rPr>
          <w:rFonts w:eastAsia="Times New Roman"/>
          <w:b/>
          <w:sz w:val="24"/>
          <w:szCs w:val="24"/>
        </w:rPr>
        <w:lastRenderedPageBreak/>
        <w:t xml:space="preserve">25:4 </w:t>
      </w:r>
      <w:r w:rsidRPr="00101A07">
        <w:rPr>
          <w:rFonts w:eastAsia="Times New Roman"/>
          <w:b/>
          <w:sz w:val="24"/>
          <w:szCs w:val="24"/>
        </w:rPr>
        <w:tab/>
        <w:t>ELEMENTS OF LIABILITY — FIRST-PARTY STATUTORY CLAIMS</w:t>
      </w:r>
    </w:p>
    <w:p w14:paraId="2E8A636D" w14:textId="7B5EC755" w:rsidR="007A56C2" w:rsidRPr="007A56C2" w:rsidRDefault="007A56C2" w:rsidP="007A56C2">
      <w:pPr>
        <w:spacing w:after="240"/>
        <w:ind w:firstLine="720"/>
        <w:rPr>
          <w:rFonts w:eastAsia="Times New Roman"/>
          <w:b/>
          <w:sz w:val="24"/>
          <w:szCs w:val="24"/>
        </w:rPr>
      </w:pPr>
      <w:r w:rsidRPr="007A56C2">
        <w:rPr>
          <w:rFonts w:eastAsia="Times New Roman"/>
          <w:b/>
          <w:sz w:val="24"/>
          <w:szCs w:val="24"/>
        </w:rPr>
        <w:t xml:space="preserve">For the plaintiff, </w:t>
      </w:r>
      <w:r w:rsidRPr="007A56C2">
        <w:rPr>
          <w:rFonts w:eastAsia="Times New Roman"/>
          <w:i/>
          <w:sz w:val="24"/>
          <w:szCs w:val="24"/>
        </w:rPr>
        <w:t>(name)</w:t>
      </w:r>
      <w:r w:rsidRPr="007A56C2">
        <w:rPr>
          <w:rFonts w:eastAsia="Times New Roman"/>
          <w:b/>
          <w:sz w:val="24"/>
          <w:szCs w:val="24"/>
        </w:rPr>
        <w:t xml:space="preserve">, to recover from the defendant, </w:t>
      </w:r>
      <w:r w:rsidRPr="007A56C2">
        <w:rPr>
          <w:rFonts w:eastAsia="Times New Roman"/>
          <w:i/>
          <w:sz w:val="24"/>
          <w:szCs w:val="24"/>
        </w:rPr>
        <w:t>(name)</w:t>
      </w:r>
      <w:r w:rsidRPr="007A56C2">
        <w:rPr>
          <w:rFonts w:eastAsia="Times New Roman"/>
          <w:b/>
          <w:sz w:val="24"/>
          <w:szCs w:val="24"/>
        </w:rPr>
        <w:t xml:space="preserve">, on </w:t>
      </w:r>
      <w:r w:rsidR="00371D9F" w:rsidRPr="00D8019D">
        <w:rPr>
          <w:rFonts w:eastAsia="Times New Roman"/>
          <w:bCs/>
          <w:i/>
          <w:iCs/>
          <w:sz w:val="24"/>
          <w:szCs w:val="24"/>
        </w:rPr>
        <w:t>(insert applicable pronoun)</w:t>
      </w:r>
      <w:r w:rsidRPr="007A56C2">
        <w:rPr>
          <w:rFonts w:eastAsia="Times New Roman"/>
          <w:b/>
          <w:sz w:val="24"/>
          <w:szCs w:val="24"/>
        </w:rPr>
        <w:t xml:space="preserve"> claim of unreasonable (denial of)</w:t>
      </w:r>
      <w:r w:rsidRPr="007A56C2" w:rsidDel="00DF7B77">
        <w:rPr>
          <w:rFonts w:eastAsia="Times New Roman"/>
          <w:b/>
          <w:sz w:val="24"/>
          <w:szCs w:val="24"/>
        </w:rPr>
        <w:t xml:space="preserve"> </w:t>
      </w:r>
      <w:r w:rsidRPr="007A56C2">
        <w:rPr>
          <w:rFonts w:eastAsia="Times New Roman"/>
          <w:b/>
          <w:sz w:val="24"/>
          <w:szCs w:val="24"/>
        </w:rPr>
        <w:t>(delay in) payment of benefits, you must find all the following have been proved by a preponderance of the evidence:</w:t>
      </w:r>
    </w:p>
    <w:p w14:paraId="0E15083E" w14:textId="77777777" w:rsidR="007A56C2" w:rsidRPr="007A56C2" w:rsidRDefault="007A56C2" w:rsidP="007A56C2">
      <w:pPr>
        <w:spacing w:after="240"/>
        <w:ind w:firstLine="720"/>
        <w:rPr>
          <w:rFonts w:eastAsia="Times New Roman"/>
          <w:b/>
          <w:sz w:val="24"/>
          <w:szCs w:val="24"/>
        </w:rPr>
      </w:pPr>
      <w:r w:rsidRPr="007A56C2">
        <w:rPr>
          <w:rFonts w:eastAsia="Times New Roman"/>
          <w:b/>
          <w:sz w:val="24"/>
          <w:szCs w:val="24"/>
        </w:rPr>
        <w:t>1. The defendant (denied) (delayed) payment of benefits to the plaintiff; and</w:t>
      </w:r>
    </w:p>
    <w:p w14:paraId="57E9FC7A" w14:textId="77777777" w:rsidR="007A56C2" w:rsidRPr="007A56C2" w:rsidRDefault="007A56C2" w:rsidP="007A56C2">
      <w:pPr>
        <w:spacing w:after="240"/>
        <w:ind w:firstLine="720"/>
        <w:rPr>
          <w:rFonts w:eastAsia="Times New Roman"/>
          <w:b/>
          <w:sz w:val="24"/>
          <w:szCs w:val="24"/>
        </w:rPr>
      </w:pPr>
      <w:r w:rsidRPr="007A56C2">
        <w:rPr>
          <w:rFonts w:eastAsia="Times New Roman"/>
          <w:b/>
          <w:sz w:val="24"/>
          <w:szCs w:val="24"/>
        </w:rPr>
        <w:t>2. The defendant’s (denial) (delay) of payment was without a reasonable basis.</w:t>
      </w:r>
    </w:p>
    <w:p w14:paraId="4687B8E0" w14:textId="77777777" w:rsidR="007A56C2" w:rsidRPr="007A56C2" w:rsidRDefault="007A56C2" w:rsidP="007A56C2">
      <w:pPr>
        <w:spacing w:after="240"/>
        <w:ind w:firstLine="720"/>
        <w:rPr>
          <w:rFonts w:eastAsia="Times New Roman"/>
          <w:b/>
          <w:sz w:val="24"/>
          <w:szCs w:val="24"/>
        </w:rPr>
      </w:pPr>
      <w:r w:rsidRPr="007A56C2">
        <w:rPr>
          <w:rFonts w:eastAsia="Times New Roman"/>
          <w:b/>
          <w:sz w:val="24"/>
          <w:szCs w:val="24"/>
        </w:rPr>
        <w:t>If you find that either of these statements has not been proved, then your verdict must be for the defendant.</w:t>
      </w:r>
    </w:p>
    <w:p w14:paraId="5FCC3A12" w14:textId="77777777" w:rsidR="007A56C2" w:rsidRPr="007A56C2" w:rsidRDefault="007A56C2" w:rsidP="007A56C2">
      <w:pPr>
        <w:spacing w:after="240"/>
        <w:ind w:firstLine="720"/>
        <w:rPr>
          <w:rFonts w:eastAsia="Times New Roman"/>
          <w:b/>
          <w:sz w:val="24"/>
          <w:szCs w:val="24"/>
        </w:rPr>
      </w:pPr>
      <w:r w:rsidRPr="007A56C2">
        <w:rPr>
          <w:rFonts w:eastAsia="Times New Roman"/>
          <w:b/>
          <w:sz w:val="24"/>
          <w:szCs w:val="24"/>
        </w:rPr>
        <w:t xml:space="preserve">On the other hand, if you find that both statements have been proved, (then your verdict must be for the plaintiff) (then you must consider the defendant’s affirmative defense(s) of </w:t>
      </w:r>
      <w:r w:rsidRPr="007A56C2">
        <w:rPr>
          <w:rFonts w:eastAsia="Times New Roman"/>
          <w:i/>
          <w:sz w:val="24"/>
          <w:szCs w:val="24"/>
        </w:rPr>
        <w:t>[insert any affirmative defense that would be a complete defense to plaintiff’s claim]</w:t>
      </w:r>
      <w:r w:rsidRPr="007A56C2">
        <w:rPr>
          <w:rFonts w:eastAsia="Times New Roman"/>
          <w:b/>
          <w:sz w:val="24"/>
          <w:szCs w:val="24"/>
        </w:rPr>
        <w:t>).</w:t>
      </w:r>
    </w:p>
    <w:p w14:paraId="38DCB66E" w14:textId="77777777" w:rsidR="007A56C2" w:rsidRPr="007A56C2" w:rsidRDefault="007A56C2" w:rsidP="007A56C2">
      <w:pPr>
        <w:spacing w:after="240"/>
        <w:ind w:firstLine="720"/>
        <w:rPr>
          <w:rFonts w:eastAsia="Times New Roman"/>
          <w:b/>
          <w:sz w:val="24"/>
          <w:szCs w:val="24"/>
        </w:rPr>
      </w:pPr>
      <w:r w:rsidRPr="007A56C2">
        <w:rPr>
          <w:rFonts w:eastAsia="Times New Roman"/>
          <w:b/>
          <w:sz w:val="24"/>
          <w:szCs w:val="24"/>
        </w:rPr>
        <w:t>If you find that (this affirmative defense has) (any one or more of these affirmative defenses have) been proved by a preponderance of the evidence, then your verdict must be for the defendant.</w:t>
      </w:r>
    </w:p>
    <w:p w14:paraId="064F7766" w14:textId="77777777" w:rsidR="007A56C2" w:rsidRPr="007A56C2" w:rsidRDefault="007A56C2" w:rsidP="007A56C2">
      <w:pPr>
        <w:spacing w:after="240"/>
        <w:ind w:firstLine="720"/>
        <w:rPr>
          <w:rFonts w:eastAsia="Times New Roman"/>
          <w:b/>
          <w:sz w:val="24"/>
          <w:szCs w:val="24"/>
        </w:rPr>
      </w:pPr>
      <w:r w:rsidRPr="007A56C2">
        <w:rPr>
          <w:rFonts w:eastAsia="Times New Roman"/>
          <w:b/>
          <w:sz w:val="24"/>
          <w:szCs w:val="24"/>
        </w:rPr>
        <w:t>However, if you find that (this affirmative defense has not) (none of these affirmative defenses have) been proved, then your verdict must be for the plaintiff.</w:t>
      </w:r>
    </w:p>
    <w:p w14:paraId="31A44AF0" w14:textId="77777777" w:rsidR="00101A07" w:rsidRDefault="00101A07" w:rsidP="00101A07">
      <w:pPr>
        <w:jc w:val="center"/>
        <w:rPr>
          <w:rFonts w:eastAsia="Times New Roman"/>
          <w:sz w:val="24"/>
          <w:szCs w:val="24"/>
        </w:rPr>
      </w:pPr>
    </w:p>
    <w:p w14:paraId="06DBAC96" w14:textId="77777777" w:rsidR="00101A07" w:rsidRPr="0054263B" w:rsidRDefault="00101A07" w:rsidP="00101A07">
      <w:pPr>
        <w:keepNext/>
        <w:spacing w:after="240"/>
        <w:jc w:val="center"/>
        <w:rPr>
          <w:rFonts w:eastAsia="Times New Roman"/>
          <w:b/>
          <w:sz w:val="24"/>
          <w:szCs w:val="24"/>
        </w:rPr>
      </w:pPr>
      <w:r w:rsidRPr="0054263B">
        <w:rPr>
          <w:rFonts w:eastAsia="Times New Roman"/>
          <w:b/>
          <w:sz w:val="24"/>
          <w:szCs w:val="24"/>
        </w:rPr>
        <w:t>Notes on Use</w:t>
      </w:r>
    </w:p>
    <w:p w14:paraId="3478B056" w14:textId="77777777" w:rsidR="007A56C2" w:rsidRPr="007A56C2" w:rsidRDefault="007A56C2" w:rsidP="007A56C2">
      <w:pPr>
        <w:spacing w:after="240"/>
        <w:ind w:firstLine="720"/>
        <w:rPr>
          <w:rFonts w:eastAsia="Times New Roman"/>
          <w:sz w:val="24"/>
          <w:szCs w:val="24"/>
        </w:rPr>
      </w:pPr>
      <w:r w:rsidRPr="007A56C2">
        <w:rPr>
          <w:rFonts w:eastAsia="Times New Roman"/>
          <w:sz w:val="24"/>
          <w:szCs w:val="24"/>
        </w:rPr>
        <w:t>1. If this instruction is given, then Instruction 25:10 must also be given.</w:t>
      </w:r>
    </w:p>
    <w:p w14:paraId="1511B5C7" w14:textId="77777777" w:rsidR="007A56C2" w:rsidRPr="007A56C2" w:rsidRDefault="007A56C2" w:rsidP="007A56C2">
      <w:pPr>
        <w:spacing w:after="240"/>
        <w:ind w:firstLine="720"/>
        <w:rPr>
          <w:rFonts w:eastAsia="Times New Roman"/>
          <w:sz w:val="24"/>
          <w:szCs w:val="24"/>
        </w:rPr>
      </w:pPr>
      <w:r w:rsidRPr="007A56C2">
        <w:rPr>
          <w:rFonts w:eastAsia="Times New Roman"/>
          <w:sz w:val="24"/>
          <w:szCs w:val="24"/>
        </w:rPr>
        <w:t xml:space="preserve">2. If there are multiple claims, see section 10-3-1116(4), C.R.S. </w:t>
      </w:r>
    </w:p>
    <w:p w14:paraId="6377414C" w14:textId="77777777" w:rsidR="007A56C2" w:rsidRPr="007A56C2" w:rsidRDefault="007A56C2" w:rsidP="007A56C2">
      <w:pPr>
        <w:spacing w:after="240"/>
        <w:ind w:firstLine="720"/>
        <w:rPr>
          <w:rFonts w:eastAsia="Times New Roman"/>
          <w:sz w:val="24"/>
          <w:szCs w:val="24"/>
        </w:rPr>
      </w:pPr>
      <w:r w:rsidRPr="007A56C2">
        <w:rPr>
          <w:rFonts w:eastAsia="Times New Roman"/>
          <w:sz w:val="24"/>
          <w:szCs w:val="24"/>
        </w:rPr>
        <w:t>3. Use whichever parenthesized portions of the instruction are appropriate.</w:t>
      </w:r>
    </w:p>
    <w:p w14:paraId="7110EEAD" w14:textId="77777777" w:rsidR="007A56C2" w:rsidRPr="007A56C2" w:rsidRDefault="007A56C2" w:rsidP="007A56C2">
      <w:pPr>
        <w:spacing w:after="240"/>
        <w:ind w:firstLine="720"/>
        <w:rPr>
          <w:rFonts w:eastAsia="Times New Roman"/>
          <w:sz w:val="24"/>
          <w:szCs w:val="24"/>
        </w:rPr>
      </w:pPr>
      <w:r w:rsidRPr="007A56C2">
        <w:rPr>
          <w:rFonts w:eastAsia="Times New Roman"/>
          <w:sz w:val="24"/>
          <w:szCs w:val="24"/>
        </w:rPr>
        <w:t>4. If there are affirmative defenses, additional instructions should be given.</w:t>
      </w:r>
    </w:p>
    <w:p w14:paraId="31A15C88" w14:textId="77777777" w:rsidR="007A56C2" w:rsidRPr="007A56C2" w:rsidRDefault="007A56C2" w:rsidP="007A56C2">
      <w:pPr>
        <w:spacing w:after="240"/>
        <w:ind w:firstLine="720"/>
        <w:rPr>
          <w:rFonts w:eastAsia="Times New Roman"/>
          <w:sz w:val="24"/>
          <w:szCs w:val="24"/>
        </w:rPr>
      </w:pPr>
      <w:r w:rsidRPr="007A56C2">
        <w:rPr>
          <w:rFonts w:eastAsia="Times New Roman"/>
          <w:sz w:val="24"/>
          <w:szCs w:val="24"/>
        </w:rPr>
        <w:t xml:space="preserve">5. Sections 10-3-1115 and -1116, C.R.S., provide an insured whose claim for insurance benefits has been unreasonably delayed or denied a private right of action in addition to and separate from a common-law claim for first-party bad faith breach of insurance contract. </w:t>
      </w:r>
      <w:r w:rsidRPr="007A56C2">
        <w:rPr>
          <w:rFonts w:eastAsia="Times New Roman"/>
          <w:b/>
          <w:sz w:val="24"/>
          <w:szCs w:val="24"/>
        </w:rPr>
        <w:t>Kisselman v. Am. Family Mut. Ins. Co.</w:t>
      </w:r>
      <w:r w:rsidRPr="007A56C2">
        <w:rPr>
          <w:rFonts w:eastAsia="Times New Roman"/>
          <w:sz w:val="24"/>
          <w:szCs w:val="24"/>
        </w:rPr>
        <w:t xml:space="preserve">, 292 P.3d 964 (Colo. App. 2011). Unlike the common-law first-party claim recognized in </w:t>
      </w:r>
      <w:r w:rsidRPr="007A56C2">
        <w:rPr>
          <w:rFonts w:eastAsia="Times New Roman"/>
          <w:b/>
          <w:sz w:val="24"/>
          <w:szCs w:val="24"/>
        </w:rPr>
        <w:t>Travelers Insurance Co. v. Savio</w:t>
      </w:r>
      <w:r w:rsidRPr="007A56C2">
        <w:rPr>
          <w:rFonts w:eastAsia="Times New Roman"/>
          <w:sz w:val="24"/>
          <w:szCs w:val="24"/>
        </w:rPr>
        <w:t xml:space="preserve">, 706 P.2d 1258 (Colo. 1985), which requires proof of both unreasonable conduct and knowing or reckless disregard of unreasonableness, liability under this statutory claim requires only proof that the insurer acted unreasonably in delaying or denying payment (defined as “without a reasonable basis”); knowing or reckless disregard of unreasonableness need not be shown. </w:t>
      </w:r>
    </w:p>
    <w:p w14:paraId="1667A6A6" w14:textId="77777777" w:rsidR="007A56C2" w:rsidRPr="007A56C2" w:rsidRDefault="007A56C2" w:rsidP="007A56C2">
      <w:pPr>
        <w:spacing w:after="240"/>
        <w:ind w:firstLine="720"/>
        <w:rPr>
          <w:rFonts w:eastAsia="Times New Roman"/>
          <w:sz w:val="24"/>
          <w:szCs w:val="24"/>
        </w:rPr>
      </w:pPr>
      <w:r w:rsidRPr="007A56C2">
        <w:rPr>
          <w:rFonts w:eastAsia="Times New Roman"/>
          <w:sz w:val="24"/>
          <w:szCs w:val="24"/>
        </w:rPr>
        <w:t xml:space="preserve">6. The statutory definition of “first-party claimant” set forth in section 10-3-1115(1)(b)(I), C.R.S., includes entities that assert an entitlement to benefits “on behalf of an </w:t>
      </w:r>
      <w:r w:rsidRPr="007A56C2">
        <w:rPr>
          <w:rFonts w:eastAsia="Times New Roman"/>
          <w:sz w:val="24"/>
          <w:szCs w:val="24"/>
        </w:rPr>
        <w:lastRenderedPageBreak/>
        <w:t xml:space="preserve">insured,” and is not limited to consumer insureds or their subrogee. In </w:t>
      </w:r>
      <w:r w:rsidRPr="007A56C2">
        <w:rPr>
          <w:rFonts w:eastAsia="Times New Roman"/>
          <w:b/>
          <w:sz w:val="24"/>
          <w:szCs w:val="24"/>
        </w:rPr>
        <w:t>Kyle W. Larson Enters., Inc. v. Allstate Ins. Co.</w:t>
      </w:r>
      <w:r w:rsidRPr="007A56C2">
        <w:rPr>
          <w:rFonts w:eastAsia="Times New Roman"/>
          <w:sz w:val="24"/>
          <w:szCs w:val="24"/>
        </w:rPr>
        <w:t>, 2012 COA 160M, ¶ 1, 305 P.3d 409, the court held that a roofing contractor that was accorded full authority by the insured to deal with the insurer on a roof damage claim was a “first-party claimant” entitled to bring an action under sections 10-3-1115 and -1116.</w:t>
      </w:r>
    </w:p>
    <w:p w14:paraId="2170EE98" w14:textId="77777777" w:rsidR="00101A07" w:rsidRPr="0054263B" w:rsidRDefault="00101A07" w:rsidP="00101A07">
      <w:pPr>
        <w:keepNext/>
        <w:spacing w:after="240"/>
        <w:jc w:val="center"/>
        <w:rPr>
          <w:rFonts w:eastAsia="Times New Roman"/>
          <w:b/>
          <w:sz w:val="24"/>
          <w:szCs w:val="24"/>
        </w:rPr>
      </w:pPr>
      <w:r>
        <w:rPr>
          <w:rFonts w:eastAsia="Times New Roman"/>
          <w:b/>
          <w:sz w:val="24"/>
          <w:szCs w:val="24"/>
        </w:rPr>
        <w:t>Source and Authority</w:t>
      </w:r>
    </w:p>
    <w:p w14:paraId="047E1138" w14:textId="5BF0E4BC" w:rsidR="001007E7" w:rsidRPr="001007E7" w:rsidRDefault="001007E7" w:rsidP="00813381">
      <w:pPr>
        <w:spacing w:after="240"/>
        <w:ind w:firstLine="720"/>
        <w:rPr>
          <w:rFonts w:eastAsia="Times New Roman"/>
          <w:sz w:val="24"/>
          <w:szCs w:val="24"/>
        </w:rPr>
      </w:pPr>
      <w:r w:rsidRPr="001007E7">
        <w:rPr>
          <w:rFonts w:eastAsia="Times New Roman"/>
          <w:sz w:val="24"/>
          <w:szCs w:val="24"/>
        </w:rPr>
        <w:t xml:space="preserve">1. This instruction is supported by sections 10-3-1115 and -1116; </w:t>
      </w:r>
      <w:r w:rsidRPr="001007E7">
        <w:rPr>
          <w:rFonts w:eastAsia="Times New Roman"/>
          <w:b/>
          <w:sz w:val="24"/>
          <w:szCs w:val="24"/>
        </w:rPr>
        <w:t>Hansen v. American Family Mutual Insurance Co.</w:t>
      </w:r>
      <w:r w:rsidRPr="001007E7">
        <w:rPr>
          <w:rFonts w:eastAsia="Times New Roman"/>
          <w:sz w:val="24"/>
          <w:szCs w:val="24"/>
        </w:rPr>
        <w:t xml:space="preserve">, 2013 COA 173, ¶¶ 46-48, 383 P.3d 28, </w:t>
      </w:r>
      <w:r w:rsidRPr="001007E7">
        <w:rPr>
          <w:rFonts w:eastAsia="Times New Roman"/>
          <w:i/>
          <w:sz w:val="24"/>
          <w:szCs w:val="24"/>
        </w:rPr>
        <w:t>rev’d on other grounds</w:t>
      </w:r>
      <w:r w:rsidRPr="001007E7">
        <w:rPr>
          <w:rFonts w:eastAsia="Times New Roman"/>
          <w:sz w:val="24"/>
          <w:szCs w:val="24"/>
        </w:rPr>
        <w:t>,</w:t>
      </w:r>
      <w:r w:rsidRPr="001007E7">
        <w:rPr>
          <w:rFonts w:eastAsia="Times New Roman"/>
          <w:i/>
          <w:sz w:val="24"/>
          <w:szCs w:val="24"/>
        </w:rPr>
        <w:t xml:space="preserve"> </w:t>
      </w:r>
      <w:r w:rsidRPr="001007E7">
        <w:rPr>
          <w:rFonts w:eastAsia="Times New Roman"/>
          <w:sz w:val="24"/>
          <w:szCs w:val="24"/>
        </w:rPr>
        <w:t>2016 CO 46, 375 P.3d 115;</w:t>
      </w:r>
      <w:r w:rsidRPr="001007E7">
        <w:rPr>
          <w:rFonts w:eastAsia="Times New Roman"/>
          <w:b/>
          <w:sz w:val="24"/>
          <w:szCs w:val="24"/>
        </w:rPr>
        <w:t xml:space="preserve"> </w:t>
      </w:r>
      <w:bookmarkStart w:id="4" w:name="_Hlk117849968"/>
      <w:r w:rsidRPr="001007E7">
        <w:rPr>
          <w:rFonts w:eastAsia="Times New Roman"/>
          <w:b/>
          <w:sz w:val="24"/>
          <w:szCs w:val="24"/>
        </w:rPr>
        <w:t>Hall v. American Standard Insurance Co.</w:t>
      </w:r>
      <w:r w:rsidRPr="001007E7">
        <w:rPr>
          <w:rFonts w:eastAsia="Times New Roman"/>
          <w:sz w:val="24"/>
          <w:szCs w:val="24"/>
        </w:rPr>
        <w:t>, 2012 COA 201, ¶ 17, 292 P.3d 1196</w:t>
      </w:r>
      <w:bookmarkEnd w:id="4"/>
      <w:r w:rsidR="00806B2F">
        <w:rPr>
          <w:rFonts w:eastAsia="Times New Roman"/>
          <w:sz w:val="24"/>
          <w:szCs w:val="24"/>
        </w:rPr>
        <w:t xml:space="preserve">, </w:t>
      </w:r>
      <w:r w:rsidR="00C235FD" w:rsidRPr="00C235FD">
        <w:rPr>
          <w:rFonts w:eastAsia="Times New Roman"/>
          <w:i/>
          <w:iCs/>
          <w:sz w:val="24"/>
          <w:szCs w:val="24"/>
        </w:rPr>
        <w:t xml:space="preserve">partially </w:t>
      </w:r>
      <w:r w:rsidR="00806B2F" w:rsidRPr="00813381">
        <w:rPr>
          <w:rFonts w:eastAsia="Times New Roman"/>
          <w:i/>
          <w:iCs/>
          <w:sz w:val="24"/>
          <w:szCs w:val="24"/>
        </w:rPr>
        <w:t>overruled on other grounds by</w:t>
      </w:r>
      <w:r w:rsidR="00806B2F">
        <w:rPr>
          <w:rFonts w:eastAsia="Times New Roman"/>
          <w:sz w:val="24"/>
          <w:szCs w:val="24"/>
        </w:rPr>
        <w:t xml:space="preserve"> </w:t>
      </w:r>
      <w:r w:rsidR="00813381" w:rsidRPr="00813381">
        <w:rPr>
          <w:rFonts w:eastAsia="Times New Roman"/>
          <w:b/>
          <w:bCs/>
          <w:sz w:val="24"/>
          <w:szCs w:val="24"/>
        </w:rPr>
        <w:t>L.H.M. Corp., TCD v. Martinez</w:t>
      </w:r>
      <w:r w:rsidR="00813381" w:rsidRPr="00813381">
        <w:rPr>
          <w:rFonts w:eastAsia="Times New Roman"/>
          <w:sz w:val="24"/>
          <w:szCs w:val="24"/>
        </w:rPr>
        <w:t>, 2021 CO 78, ¶ 24, 499 P.3d 1050</w:t>
      </w:r>
      <w:r w:rsidRPr="001007E7">
        <w:rPr>
          <w:rFonts w:eastAsia="Times New Roman"/>
          <w:sz w:val="24"/>
          <w:szCs w:val="24"/>
        </w:rPr>
        <w:t xml:space="preserve">; and </w:t>
      </w:r>
      <w:r w:rsidRPr="001007E7">
        <w:rPr>
          <w:rFonts w:eastAsia="Times New Roman"/>
          <w:b/>
          <w:sz w:val="24"/>
          <w:szCs w:val="24"/>
        </w:rPr>
        <w:t>Kisselman</w:t>
      </w:r>
      <w:r w:rsidRPr="001007E7">
        <w:rPr>
          <w:rFonts w:eastAsia="Times New Roman"/>
          <w:sz w:val="24"/>
          <w:szCs w:val="24"/>
        </w:rPr>
        <w:t>, 292 P.3d at 972-73.</w:t>
      </w:r>
    </w:p>
    <w:p w14:paraId="0113B844" w14:textId="63A951FA" w:rsidR="000407F2" w:rsidRPr="00C235FD" w:rsidRDefault="000407F2" w:rsidP="00C235FD">
      <w:pPr>
        <w:ind w:firstLine="720"/>
        <w:rPr>
          <w:rFonts w:eastAsia="Times New Roman"/>
          <w:sz w:val="24"/>
          <w:szCs w:val="24"/>
        </w:rPr>
      </w:pPr>
      <w:r w:rsidRPr="00C235FD">
        <w:rPr>
          <w:rFonts w:eastAsia="Times New Roman"/>
          <w:color w:val="000000"/>
          <w:sz w:val="24"/>
          <w:szCs w:val="24"/>
          <w:shd w:val="clear" w:color="auto" w:fill="FFFFFF"/>
        </w:rPr>
        <w:t>2. An action for unreasonably delayed or denied insurance benefits under Colorado law may be brought against an insurer, not against an individual adjuster acting solely as an employee of the insurer.</w:t>
      </w:r>
      <w:r w:rsidRPr="00C235FD">
        <w:rPr>
          <w:rFonts w:eastAsia="Times New Roman"/>
          <w:color w:val="000000"/>
          <w:sz w:val="24"/>
          <w:szCs w:val="24"/>
        </w:rPr>
        <w:t xml:space="preserve"> </w:t>
      </w:r>
      <w:r w:rsidRPr="00C235FD">
        <w:rPr>
          <w:rFonts w:eastAsia="Times New Roman"/>
          <w:b/>
          <w:bCs/>
          <w:color w:val="000000"/>
          <w:sz w:val="24"/>
          <w:szCs w:val="24"/>
          <w:bdr w:val="none" w:sz="0" w:space="0" w:color="auto" w:frame="1"/>
        </w:rPr>
        <w:t>Skillett v. Allstate Fire &amp; Cas. Ins. Co.</w:t>
      </w:r>
      <w:r w:rsidRPr="00C235FD">
        <w:rPr>
          <w:rFonts w:eastAsia="Times New Roman"/>
          <w:color w:val="000000"/>
          <w:sz w:val="24"/>
          <w:szCs w:val="24"/>
        </w:rPr>
        <w:t>, 2022 CO 12, ¶ 1, 505 P.3d 664</w:t>
      </w:r>
      <w:r w:rsidR="000821FF" w:rsidRPr="00C235FD">
        <w:rPr>
          <w:rFonts w:eastAsia="Times New Roman"/>
          <w:color w:val="000000"/>
          <w:sz w:val="24"/>
          <w:szCs w:val="24"/>
        </w:rPr>
        <w:t>.</w:t>
      </w:r>
    </w:p>
    <w:p w14:paraId="6C90A8FF" w14:textId="77777777" w:rsidR="000407F2" w:rsidRPr="00C235FD" w:rsidRDefault="000407F2" w:rsidP="000407F2">
      <w:pPr>
        <w:rPr>
          <w:sz w:val="24"/>
          <w:szCs w:val="24"/>
        </w:rPr>
      </w:pPr>
    </w:p>
    <w:p w14:paraId="73673635" w14:textId="71BADA6E" w:rsidR="001007E7" w:rsidRPr="001007E7" w:rsidRDefault="00C235FD" w:rsidP="001007E7">
      <w:pPr>
        <w:spacing w:after="240"/>
        <w:ind w:firstLine="720"/>
        <w:rPr>
          <w:rFonts w:eastAsia="Times New Roman"/>
          <w:sz w:val="24"/>
          <w:szCs w:val="24"/>
        </w:rPr>
      </w:pPr>
      <w:r>
        <w:rPr>
          <w:rFonts w:eastAsia="Times New Roman"/>
          <w:sz w:val="24"/>
          <w:szCs w:val="24"/>
        </w:rPr>
        <w:t>3</w:t>
      </w:r>
      <w:r w:rsidR="001007E7" w:rsidRPr="001007E7">
        <w:rPr>
          <w:rFonts w:eastAsia="Times New Roman"/>
          <w:sz w:val="24"/>
          <w:szCs w:val="24"/>
        </w:rPr>
        <w:t>.</w:t>
      </w:r>
      <w:r w:rsidR="00157C2C">
        <w:rPr>
          <w:rFonts w:eastAsia="Times New Roman"/>
          <w:sz w:val="24"/>
          <w:szCs w:val="24"/>
        </w:rPr>
        <w:t xml:space="preserve"> </w:t>
      </w:r>
      <w:r w:rsidR="00157C2C" w:rsidRPr="00157C2C">
        <w:rPr>
          <w:rFonts w:eastAsia="Times New Roman"/>
          <w:sz w:val="24"/>
          <w:szCs w:val="24"/>
        </w:rPr>
        <w:t xml:space="preserve">“[T]he ‘fairly debatable’ issue is not relevant to a statutory delay claim pursuant to section 10-3-1116.” </w:t>
      </w:r>
      <w:r w:rsidR="00157C2C" w:rsidRPr="00157C2C">
        <w:rPr>
          <w:rFonts w:eastAsia="Times New Roman"/>
          <w:b/>
          <w:sz w:val="24"/>
          <w:szCs w:val="24"/>
        </w:rPr>
        <w:t>Nibert v. GEICO Cas. Co.</w:t>
      </w:r>
      <w:r w:rsidR="00157C2C" w:rsidRPr="00157C2C">
        <w:rPr>
          <w:rFonts w:eastAsia="Times New Roman"/>
          <w:sz w:val="24"/>
          <w:szCs w:val="24"/>
        </w:rPr>
        <w:t>, 2017 COA 23, ¶ 15</w:t>
      </w:r>
      <w:r w:rsidR="00FD0662">
        <w:rPr>
          <w:rFonts w:eastAsia="Times New Roman"/>
          <w:sz w:val="24"/>
          <w:szCs w:val="24"/>
        </w:rPr>
        <w:t>, 488 P.3d 142</w:t>
      </w:r>
      <w:r w:rsidR="00157C2C">
        <w:rPr>
          <w:rFonts w:eastAsia="Times New Roman"/>
          <w:sz w:val="24"/>
          <w:szCs w:val="24"/>
        </w:rPr>
        <w:t xml:space="preserve"> </w:t>
      </w:r>
      <w:r w:rsidR="00157C2C" w:rsidRPr="00157C2C">
        <w:rPr>
          <w:rFonts w:eastAsia="Times New Roman"/>
          <w:sz w:val="24"/>
          <w:szCs w:val="24"/>
        </w:rPr>
        <w:t>(agreeing with cases limiting relevancy of the fair debatability concept to first-party common law bad faith claims</w:t>
      </w:r>
      <w:r w:rsidR="00E65F9E">
        <w:rPr>
          <w:rFonts w:eastAsia="Times New Roman"/>
          <w:sz w:val="24"/>
          <w:szCs w:val="24"/>
        </w:rPr>
        <w:t>)</w:t>
      </w:r>
      <w:r w:rsidR="001007E7" w:rsidRPr="001007E7">
        <w:rPr>
          <w:rFonts w:eastAsia="Times New Roman"/>
          <w:sz w:val="24"/>
          <w:szCs w:val="24"/>
        </w:rPr>
        <w:t>.</w:t>
      </w:r>
    </w:p>
    <w:p w14:paraId="5997772E" w14:textId="285A9C68" w:rsidR="001007E7" w:rsidRPr="001007E7" w:rsidRDefault="00C235FD" w:rsidP="001007E7">
      <w:pPr>
        <w:spacing w:after="240"/>
        <w:ind w:firstLine="720"/>
        <w:rPr>
          <w:rFonts w:eastAsia="Times New Roman"/>
          <w:sz w:val="24"/>
          <w:szCs w:val="24"/>
        </w:rPr>
      </w:pPr>
      <w:r>
        <w:rPr>
          <w:rFonts w:eastAsia="Times New Roman"/>
          <w:sz w:val="24"/>
          <w:szCs w:val="24"/>
        </w:rPr>
        <w:t>4</w:t>
      </w:r>
      <w:r w:rsidR="001007E7" w:rsidRPr="001007E7">
        <w:rPr>
          <w:rFonts w:eastAsia="Times New Roman"/>
          <w:sz w:val="24"/>
          <w:szCs w:val="24"/>
        </w:rPr>
        <w:t xml:space="preserve">. An insured’s lack of cooperation may be considered by the jury in determining whether an insurer’s delay in payment was reasonable. </w:t>
      </w:r>
      <w:r w:rsidR="001007E7" w:rsidRPr="001007E7">
        <w:rPr>
          <w:rFonts w:eastAsia="Times New Roman"/>
          <w:b/>
          <w:sz w:val="24"/>
          <w:szCs w:val="24"/>
        </w:rPr>
        <w:t>Fisher v. State Farm Mut. Auto. Ins. Co.</w:t>
      </w:r>
      <w:r w:rsidR="001007E7" w:rsidRPr="001007E7">
        <w:rPr>
          <w:rFonts w:eastAsia="Times New Roman"/>
          <w:sz w:val="24"/>
          <w:szCs w:val="24"/>
        </w:rPr>
        <w:t>, 2015 COA 57, ¶ 42</w:t>
      </w:r>
      <w:r w:rsidR="003E604A">
        <w:rPr>
          <w:rFonts w:eastAsia="Times New Roman"/>
          <w:sz w:val="24"/>
          <w:szCs w:val="24"/>
        </w:rPr>
        <w:t xml:space="preserve">, 419 P.3d 985, </w:t>
      </w:r>
      <w:r w:rsidR="003E604A" w:rsidRPr="003E604A">
        <w:rPr>
          <w:rFonts w:eastAsia="Times New Roman"/>
          <w:i/>
          <w:sz w:val="24"/>
          <w:szCs w:val="24"/>
        </w:rPr>
        <w:t>aff’d on other grounds</w:t>
      </w:r>
      <w:r w:rsidR="003E604A">
        <w:rPr>
          <w:rFonts w:eastAsia="Times New Roman"/>
          <w:sz w:val="24"/>
          <w:szCs w:val="24"/>
        </w:rPr>
        <w:t>, 2018 CO 39, 418 P.3d 501</w:t>
      </w:r>
      <w:r w:rsidR="001007E7" w:rsidRPr="001007E7">
        <w:rPr>
          <w:rFonts w:eastAsia="Times New Roman"/>
          <w:sz w:val="24"/>
          <w:szCs w:val="24"/>
        </w:rPr>
        <w:t>.</w:t>
      </w:r>
    </w:p>
    <w:p w14:paraId="22C3F728" w14:textId="23C80582" w:rsidR="001007E7" w:rsidRPr="001007E7" w:rsidRDefault="00C235FD" w:rsidP="001007E7">
      <w:pPr>
        <w:spacing w:after="240"/>
        <w:ind w:firstLine="720"/>
        <w:rPr>
          <w:rFonts w:eastAsia="Times New Roman"/>
          <w:sz w:val="24"/>
          <w:szCs w:val="24"/>
        </w:rPr>
      </w:pPr>
      <w:r>
        <w:rPr>
          <w:rFonts w:eastAsia="Times New Roman"/>
          <w:sz w:val="24"/>
          <w:szCs w:val="24"/>
        </w:rPr>
        <w:t>5</w:t>
      </w:r>
      <w:r w:rsidR="001007E7" w:rsidRPr="001007E7">
        <w:rPr>
          <w:rFonts w:eastAsia="Times New Roman"/>
          <w:sz w:val="24"/>
          <w:szCs w:val="24"/>
        </w:rPr>
        <w:t xml:space="preserve">. An insurer’s unreasonable delay or denial of payment as to part of a UIM claim (medical expenses) may subject it to liability even though a reasonable dispute existed as to other components of the claim. </w:t>
      </w:r>
      <w:r w:rsidR="001007E7" w:rsidRPr="001007E7">
        <w:rPr>
          <w:rFonts w:eastAsia="Times New Roman"/>
          <w:b/>
          <w:sz w:val="24"/>
          <w:szCs w:val="24"/>
        </w:rPr>
        <w:t>Fisher</w:t>
      </w:r>
      <w:r w:rsidR="001007E7" w:rsidRPr="001007E7">
        <w:rPr>
          <w:rFonts w:eastAsia="Times New Roman"/>
          <w:sz w:val="24"/>
          <w:szCs w:val="24"/>
        </w:rPr>
        <w:t>, ¶ 36</w:t>
      </w:r>
      <w:r w:rsidR="00BA2682">
        <w:rPr>
          <w:rFonts w:eastAsia="Times New Roman"/>
          <w:sz w:val="24"/>
          <w:szCs w:val="24"/>
        </w:rPr>
        <w:t>, 419 P.3d at 992</w:t>
      </w:r>
      <w:r w:rsidR="001007E7" w:rsidRPr="001007E7">
        <w:rPr>
          <w:rFonts w:eastAsia="Times New Roman"/>
          <w:sz w:val="24"/>
          <w:szCs w:val="24"/>
        </w:rPr>
        <w:t xml:space="preserve"> (insurance contract contained no requirement that insured establish </w:t>
      </w:r>
      <w:r w:rsidR="001007E7" w:rsidRPr="001007E7">
        <w:rPr>
          <w:rFonts w:eastAsia="Times New Roman"/>
          <w:sz w:val="24"/>
          <w:szCs w:val="24"/>
          <w:u w:val="single"/>
        </w:rPr>
        <w:t>all</w:t>
      </w:r>
      <w:r w:rsidR="001007E7" w:rsidRPr="001007E7">
        <w:rPr>
          <w:rFonts w:eastAsia="Times New Roman"/>
          <w:sz w:val="24"/>
          <w:szCs w:val="24"/>
        </w:rPr>
        <w:t xml:space="preserve"> damages as a prerequisite to the insurer’s obligation to pay </w:t>
      </w:r>
      <w:r w:rsidR="001007E7" w:rsidRPr="001007E7">
        <w:rPr>
          <w:rFonts w:eastAsia="Times New Roman"/>
          <w:sz w:val="24"/>
          <w:szCs w:val="24"/>
          <w:u w:val="single"/>
        </w:rPr>
        <w:t>any</w:t>
      </w:r>
      <w:r w:rsidR="001007E7" w:rsidRPr="001007E7">
        <w:rPr>
          <w:rFonts w:eastAsia="Times New Roman"/>
          <w:sz w:val="24"/>
          <w:szCs w:val="24"/>
        </w:rPr>
        <w:t xml:space="preserve"> damages, and any provision that did limit statutorily mandated UIM coverage would be unenforceable).</w:t>
      </w:r>
    </w:p>
    <w:p w14:paraId="52ED6C08" w14:textId="3C60A2F1" w:rsidR="001007E7" w:rsidRPr="001007E7" w:rsidRDefault="00C235FD" w:rsidP="001007E7">
      <w:pPr>
        <w:spacing w:after="240"/>
        <w:ind w:firstLine="720"/>
        <w:rPr>
          <w:rFonts w:eastAsia="Times New Roman"/>
          <w:sz w:val="24"/>
          <w:szCs w:val="24"/>
        </w:rPr>
      </w:pPr>
      <w:r>
        <w:rPr>
          <w:rFonts w:eastAsia="Times New Roman"/>
          <w:sz w:val="24"/>
          <w:szCs w:val="24"/>
        </w:rPr>
        <w:t>6</w:t>
      </w:r>
      <w:r w:rsidR="001007E7" w:rsidRPr="001007E7">
        <w:rPr>
          <w:rFonts w:eastAsia="Times New Roman"/>
          <w:sz w:val="24"/>
          <w:szCs w:val="24"/>
        </w:rPr>
        <w:t xml:space="preserve">. UIM benefits are owed to the extent that the insured’s damages exceed the amount of the at-fault driver’s liability limits up to the UIM limit of coverage, and the amount of damages the insured is entitled to collect from the underinsured driver need not be established as a condition to UIM coverage. </w:t>
      </w:r>
      <w:r w:rsidR="001007E7" w:rsidRPr="001007E7">
        <w:rPr>
          <w:rFonts w:eastAsia="Times New Roman"/>
          <w:b/>
          <w:sz w:val="24"/>
          <w:szCs w:val="24"/>
        </w:rPr>
        <w:t>Fisher</w:t>
      </w:r>
      <w:r w:rsidR="001007E7" w:rsidRPr="001007E7">
        <w:rPr>
          <w:rFonts w:eastAsia="Times New Roman"/>
          <w:sz w:val="24"/>
          <w:szCs w:val="24"/>
        </w:rPr>
        <w:t>, ¶¶ 19 &amp; 20</w:t>
      </w:r>
      <w:r w:rsidR="00BA2682">
        <w:rPr>
          <w:rFonts w:eastAsia="Times New Roman"/>
          <w:sz w:val="24"/>
          <w:szCs w:val="24"/>
        </w:rPr>
        <w:t>, 419 P.3d at 989</w:t>
      </w:r>
      <w:r w:rsidR="001007E7" w:rsidRPr="001007E7">
        <w:rPr>
          <w:rFonts w:eastAsia="Times New Roman"/>
          <w:sz w:val="24"/>
          <w:szCs w:val="24"/>
        </w:rPr>
        <w:t>.</w:t>
      </w:r>
    </w:p>
    <w:p w14:paraId="79565914" w14:textId="6257C7CC" w:rsidR="001007E7" w:rsidRPr="001007E7" w:rsidRDefault="00C235FD" w:rsidP="001007E7">
      <w:pPr>
        <w:spacing w:after="240"/>
        <w:ind w:firstLine="720"/>
        <w:rPr>
          <w:rFonts w:eastAsia="Times New Roman"/>
          <w:sz w:val="24"/>
          <w:szCs w:val="24"/>
        </w:rPr>
      </w:pPr>
      <w:r>
        <w:rPr>
          <w:rFonts w:eastAsia="Times New Roman"/>
          <w:sz w:val="24"/>
          <w:szCs w:val="24"/>
        </w:rPr>
        <w:t>7</w:t>
      </w:r>
      <w:r w:rsidR="001007E7" w:rsidRPr="001007E7">
        <w:rPr>
          <w:rFonts w:eastAsia="Times New Roman"/>
          <w:sz w:val="24"/>
          <w:szCs w:val="24"/>
        </w:rPr>
        <w:t xml:space="preserve">. Sections 10-3-1115 and -1116 apply prospectively to insurer conduct occurring after their August 5, 2008, effective date, even if the insured’s original claim was made before that date. </w:t>
      </w:r>
      <w:r w:rsidR="001007E7" w:rsidRPr="001007E7">
        <w:rPr>
          <w:rFonts w:eastAsia="Times New Roman"/>
          <w:b/>
          <w:sz w:val="24"/>
          <w:szCs w:val="24"/>
        </w:rPr>
        <w:t>Kisselman</w:t>
      </w:r>
      <w:r w:rsidR="001007E7" w:rsidRPr="001007E7">
        <w:rPr>
          <w:rFonts w:eastAsia="Times New Roman"/>
          <w:sz w:val="24"/>
          <w:szCs w:val="24"/>
        </w:rPr>
        <w:t xml:space="preserve">, 292 P.3d at 976 (distinguishing Colorado’s refusal to recognize continuing acts of bad faith as giving rise to new claims); </w:t>
      </w:r>
      <w:r w:rsidR="001007E7" w:rsidRPr="001007E7">
        <w:rPr>
          <w:rFonts w:eastAsia="Times New Roman"/>
          <w:i/>
          <w:sz w:val="24"/>
          <w:szCs w:val="24"/>
        </w:rPr>
        <w:t xml:space="preserve">see </w:t>
      </w:r>
      <w:r w:rsidR="001007E7" w:rsidRPr="001007E7">
        <w:rPr>
          <w:rFonts w:eastAsia="Times New Roman"/>
          <w:b/>
          <w:sz w:val="24"/>
          <w:szCs w:val="24"/>
        </w:rPr>
        <w:t>Dale v. Guar. Nat’l Ins. Co.</w:t>
      </w:r>
      <w:r w:rsidR="001007E7" w:rsidRPr="001007E7">
        <w:rPr>
          <w:rFonts w:eastAsia="Times New Roman"/>
          <w:sz w:val="24"/>
          <w:szCs w:val="24"/>
        </w:rPr>
        <w:t>, 948 P.2d 545 (Colo. 1997) (while ongoing bad faith is relevant to a common-law claim, it does not give rise to additional bad faith claims).</w:t>
      </w:r>
    </w:p>
    <w:p w14:paraId="00A43CDF" w14:textId="5C98CB8D" w:rsidR="001007E7" w:rsidRDefault="00C235FD" w:rsidP="001007E7">
      <w:pPr>
        <w:spacing w:after="240"/>
        <w:ind w:firstLine="720"/>
        <w:rPr>
          <w:rFonts w:eastAsia="Times New Roman"/>
          <w:sz w:val="24"/>
          <w:szCs w:val="24"/>
        </w:rPr>
      </w:pPr>
      <w:r>
        <w:rPr>
          <w:rFonts w:eastAsia="Times New Roman"/>
          <w:sz w:val="24"/>
          <w:szCs w:val="24"/>
        </w:rPr>
        <w:lastRenderedPageBreak/>
        <w:t>8</w:t>
      </w:r>
      <w:r w:rsidR="001007E7" w:rsidRPr="001007E7">
        <w:rPr>
          <w:rFonts w:eastAsia="Times New Roman"/>
          <w:sz w:val="24"/>
          <w:szCs w:val="24"/>
        </w:rPr>
        <w:t xml:space="preserve">. Conflict preemption precludes a claim under this statute brought in connection with a policy governed by ERISA because the double-benefit remedy provided by section 10-3-1116(1) supplements and therefore conflicts with remedies available under ERISA. </w:t>
      </w:r>
      <w:r w:rsidR="001007E7" w:rsidRPr="001007E7">
        <w:rPr>
          <w:rFonts w:eastAsia="Times New Roman"/>
          <w:b/>
          <w:sz w:val="24"/>
          <w:szCs w:val="24"/>
        </w:rPr>
        <w:t>Timm v. Prudential Ins. Co. of Am.</w:t>
      </w:r>
      <w:r w:rsidR="001007E7" w:rsidRPr="001007E7">
        <w:rPr>
          <w:rFonts w:eastAsia="Times New Roman"/>
          <w:sz w:val="24"/>
          <w:szCs w:val="24"/>
        </w:rPr>
        <w:t>, 259 P.3d 521 (Colo. App. 2011).</w:t>
      </w:r>
    </w:p>
    <w:p w14:paraId="50F3D8B7" w14:textId="6CC5D662" w:rsidR="00F945CF" w:rsidRDefault="00C235FD" w:rsidP="009E7644">
      <w:pPr>
        <w:spacing w:after="240"/>
        <w:ind w:firstLine="720"/>
        <w:rPr>
          <w:rFonts w:eastAsia="Times New Roman"/>
          <w:i/>
          <w:sz w:val="24"/>
          <w:szCs w:val="24"/>
        </w:rPr>
      </w:pPr>
      <w:r>
        <w:rPr>
          <w:rFonts w:eastAsia="Times New Roman"/>
          <w:sz w:val="24"/>
          <w:szCs w:val="24"/>
        </w:rPr>
        <w:t>9</w:t>
      </w:r>
      <w:r w:rsidR="00673F33">
        <w:rPr>
          <w:rFonts w:eastAsia="Times New Roman"/>
          <w:sz w:val="24"/>
          <w:szCs w:val="24"/>
        </w:rPr>
        <w:t xml:space="preserve">. </w:t>
      </w:r>
      <w:r w:rsidR="00673F33" w:rsidRPr="00673F33">
        <w:rPr>
          <w:rFonts w:eastAsia="Times New Roman"/>
          <w:sz w:val="24"/>
          <w:szCs w:val="24"/>
        </w:rPr>
        <w:t xml:space="preserve">Insureds’ entitlement to de novo judicial </w:t>
      </w:r>
      <w:r w:rsidR="00673F33">
        <w:rPr>
          <w:rFonts w:eastAsia="Times New Roman"/>
          <w:sz w:val="24"/>
          <w:szCs w:val="24"/>
        </w:rPr>
        <w:t>review and trial by jury under s</w:t>
      </w:r>
      <w:r w:rsidR="00673F33" w:rsidRPr="00673F33">
        <w:rPr>
          <w:rFonts w:eastAsia="Times New Roman"/>
          <w:sz w:val="24"/>
          <w:szCs w:val="24"/>
        </w:rPr>
        <w:t xml:space="preserve">ection 10-3-1116(3), </w:t>
      </w:r>
      <w:r w:rsidR="00673F33">
        <w:rPr>
          <w:rFonts w:eastAsia="Times New Roman"/>
          <w:sz w:val="24"/>
          <w:szCs w:val="24"/>
        </w:rPr>
        <w:t xml:space="preserve">C.R.S., </w:t>
      </w:r>
      <w:r w:rsidR="00673F33" w:rsidRPr="00673F33">
        <w:rPr>
          <w:rFonts w:eastAsia="Times New Roman"/>
          <w:sz w:val="24"/>
          <w:szCs w:val="24"/>
        </w:rPr>
        <w:t>is not subject to arbitration under the F</w:t>
      </w:r>
      <w:r w:rsidR="00673F33">
        <w:rPr>
          <w:rFonts w:eastAsia="Times New Roman"/>
          <w:sz w:val="24"/>
          <w:szCs w:val="24"/>
        </w:rPr>
        <w:t xml:space="preserve">ederal </w:t>
      </w:r>
      <w:r w:rsidR="00673F33" w:rsidRPr="00673F33">
        <w:rPr>
          <w:rFonts w:eastAsia="Times New Roman"/>
          <w:sz w:val="24"/>
          <w:szCs w:val="24"/>
        </w:rPr>
        <w:t>A</w:t>
      </w:r>
      <w:r w:rsidR="00673F33">
        <w:rPr>
          <w:rFonts w:eastAsia="Times New Roman"/>
          <w:sz w:val="24"/>
          <w:szCs w:val="24"/>
        </w:rPr>
        <w:t xml:space="preserve">rbitration </w:t>
      </w:r>
      <w:r w:rsidR="00673F33" w:rsidRPr="00673F33">
        <w:rPr>
          <w:rFonts w:eastAsia="Times New Roman"/>
          <w:sz w:val="24"/>
          <w:szCs w:val="24"/>
        </w:rPr>
        <w:t>A</w:t>
      </w:r>
      <w:r w:rsidR="00673F33">
        <w:rPr>
          <w:rFonts w:eastAsia="Times New Roman"/>
          <w:sz w:val="24"/>
          <w:szCs w:val="24"/>
        </w:rPr>
        <w:t>ct, 9 U.S.C. §§ 1-16 (201</w:t>
      </w:r>
      <w:r w:rsidR="007F5724">
        <w:rPr>
          <w:rFonts w:eastAsia="Times New Roman"/>
          <w:sz w:val="24"/>
          <w:szCs w:val="24"/>
        </w:rPr>
        <w:t>8</w:t>
      </w:r>
      <w:r w:rsidR="00673F33">
        <w:rPr>
          <w:rFonts w:eastAsia="Times New Roman"/>
          <w:sz w:val="24"/>
          <w:szCs w:val="24"/>
        </w:rPr>
        <w:t xml:space="preserve">). </w:t>
      </w:r>
      <w:r w:rsidR="00673F33" w:rsidRPr="00673F33">
        <w:rPr>
          <w:rFonts w:eastAsia="Times New Roman"/>
          <w:b/>
          <w:sz w:val="24"/>
          <w:szCs w:val="24"/>
        </w:rPr>
        <w:t>Meardon v. Freedom Life Ins. Co.</w:t>
      </w:r>
      <w:r w:rsidR="00673F33">
        <w:rPr>
          <w:rFonts w:eastAsia="Times New Roman"/>
          <w:sz w:val="24"/>
          <w:szCs w:val="24"/>
        </w:rPr>
        <w:t xml:space="preserve">, 2018 COA 32, ¶¶ 15-20, 417 P.3d 929. </w:t>
      </w:r>
      <w:r w:rsidR="00673F33" w:rsidRPr="00673F33">
        <w:rPr>
          <w:rFonts w:eastAsia="Times New Roman"/>
          <w:sz w:val="24"/>
          <w:szCs w:val="24"/>
        </w:rPr>
        <w:t xml:space="preserve">The provisions of </w:t>
      </w:r>
      <w:r w:rsidR="00673F33">
        <w:rPr>
          <w:rFonts w:eastAsia="Times New Roman"/>
          <w:sz w:val="24"/>
          <w:szCs w:val="24"/>
        </w:rPr>
        <w:t>section 10-3-</w:t>
      </w:r>
      <w:r w:rsidR="00673F33" w:rsidRPr="00673F33">
        <w:rPr>
          <w:rFonts w:eastAsia="Times New Roman"/>
          <w:sz w:val="24"/>
          <w:szCs w:val="24"/>
        </w:rPr>
        <w:t xml:space="preserve">1116(3) incorporated into the insurance contract by the policy’s conformity to state law provision invalidate a mandatory arbitration clause in a health insurance policy for claims within the ambit of the statute. </w:t>
      </w:r>
      <w:r w:rsidR="00673F33" w:rsidRPr="009E7644">
        <w:rPr>
          <w:rFonts w:eastAsia="Times New Roman"/>
          <w:i/>
          <w:sz w:val="24"/>
          <w:szCs w:val="24"/>
        </w:rPr>
        <w:t>Id.</w:t>
      </w:r>
    </w:p>
    <w:p w14:paraId="37BFDA01" w14:textId="0F447973" w:rsidR="001007E7" w:rsidRPr="009E7644" w:rsidRDefault="001007E7" w:rsidP="009E7644">
      <w:pPr>
        <w:spacing w:after="240"/>
        <w:ind w:firstLine="720"/>
        <w:rPr>
          <w:rFonts w:eastAsia="Times New Roman"/>
          <w:b/>
          <w:sz w:val="24"/>
          <w:szCs w:val="24"/>
        </w:rPr>
      </w:pPr>
      <w:r>
        <w:rPr>
          <w:rFonts w:eastAsia="Times New Roman"/>
          <w:sz w:val="24"/>
          <w:szCs w:val="24"/>
        </w:rPr>
        <w:br w:type="page"/>
      </w:r>
    </w:p>
    <w:p w14:paraId="561B2B89" w14:textId="77777777" w:rsidR="001007E7" w:rsidRPr="009E3DA4" w:rsidRDefault="001007E7" w:rsidP="001007E7">
      <w:pPr>
        <w:spacing w:after="240"/>
        <w:ind w:left="720" w:hanging="720"/>
        <w:rPr>
          <w:rFonts w:eastAsia="Times New Roman"/>
          <w:b/>
          <w:sz w:val="24"/>
          <w:szCs w:val="24"/>
        </w:rPr>
      </w:pPr>
      <w:bookmarkStart w:id="5" w:name="a25_05"/>
      <w:bookmarkEnd w:id="5"/>
      <w:r w:rsidRPr="001007E7">
        <w:rPr>
          <w:rFonts w:eastAsia="Times New Roman"/>
          <w:b/>
          <w:sz w:val="24"/>
          <w:szCs w:val="24"/>
        </w:rPr>
        <w:lastRenderedPageBreak/>
        <w:t>25:5</w:t>
      </w:r>
      <w:r w:rsidRPr="001007E7">
        <w:rPr>
          <w:rFonts w:eastAsia="Times New Roman"/>
          <w:b/>
          <w:sz w:val="24"/>
          <w:szCs w:val="24"/>
        </w:rPr>
        <w:tab/>
        <w:t>UNREASONABLE DELAY OR DENIAL</w:t>
      </w:r>
    </w:p>
    <w:p w14:paraId="6B61FD89" w14:textId="77777777" w:rsidR="001007E7" w:rsidRPr="001007E7" w:rsidRDefault="001007E7" w:rsidP="001007E7">
      <w:pPr>
        <w:spacing w:after="240"/>
        <w:ind w:firstLine="720"/>
        <w:rPr>
          <w:rFonts w:eastAsia="Times New Roman"/>
          <w:sz w:val="24"/>
          <w:szCs w:val="24"/>
        </w:rPr>
      </w:pPr>
      <w:r w:rsidRPr="001007E7">
        <w:rPr>
          <w:rFonts w:eastAsia="Times New Roman"/>
          <w:b/>
          <w:sz w:val="24"/>
          <w:szCs w:val="24"/>
        </w:rPr>
        <w:t>An insurer’s delay or denial in authorizing payment of a covered benefit is unreasonable if that action is without a reasonable basis.</w:t>
      </w:r>
    </w:p>
    <w:p w14:paraId="294857A6" w14:textId="77777777" w:rsidR="001007E7" w:rsidRDefault="001007E7" w:rsidP="001007E7">
      <w:pPr>
        <w:jc w:val="center"/>
        <w:rPr>
          <w:rFonts w:eastAsia="Times New Roman"/>
          <w:sz w:val="24"/>
          <w:szCs w:val="24"/>
        </w:rPr>
      </w:pPr>
    </w:p>
    <w:p w14:paraId="57573DEA" w14:textId="77777777" w:rsidR="001007E7" w:rsidRPr="0054263B" w:rsidRDefault="001007E7" w:rsidP="001007E7">
      <w:pPr>
        <w:keepNext/>
        <w:spacing w:after="240"/>
        <w:jc w:val="center"/>
        <w:rPr>
          <w:rFonts w:eastAsia="Times New Roman"/>
          <w:b/>
          <w:sz w:val="24"/>
          <w:szCs w:val="24"/>
        </w:rPr>
      </w:pPr>
      <w:r w:rsidRPr="0054263B">
        <w:rPr>
          <w:rFonts w:eastAsia="Times New Roman"/>
          <w:b/>
          <w:sz w:val="24"/>
          <w:szCs w:val="24"/>
        </w:rPr>
        <w:t>Notes on Use</w:t>
      </w:r>
    </w:p>
    <w:p w14:paraId="48EF2634" w14:textId="77777777" w:rsidR="001007E7" w:rsidRPr="001007E7" w:rsidRDefault="001007E7" w:rsidP="001007E7">
      <w:pPr>
        <w:spacing w:after="240"/>
        <w:ind w:firstLine="720"/>
        <w:rPr>
          <w:rFonts w:eastAsia="Times New Roman"/>
          <w:sz w:val="24"/>
          <w:szCs w:val="24"/>
        </w:rPr>
      </w:pPr>
      <w:r w:rsidRPr="001007E7">
        <w:rPr>
          <w:rFonts w:eastAsia="Times New Roman"/>
          <w:sz w:val="24"/>
          <w:szCs w:val="24"/>
        </w:rPr>
        <w:t>This instruction relates to statutory claims provided by sections 10-3-1115 and -1116, C.R.S., and should be given with Instruction 25:4.</w:t>
      </w:r>
    </w:p>
    <w:p w14:paraId="19997DD2" w14:textId="77777777" w:rsidR="001007E7" w:rsidRPr="0054263B" w:rsidRDefault="001007E7" w:rsidP="001007E7">
      <w:pPr>
        <w:keepNext/>
        <w:spacing w:after="240"/>
        <w:jc w:val="center"/>
        <w:rPr>
          <w:rFonts w:eastAsia="Times New Roman"/>
          <w:b/>
          <w:sz w:val="24"/>
          <w:szCs w:val="24"/>
        </w:rPr>
      </w:pPr>
      <w:r>
        <w:rPr>
          <w:rFonts w:eastAsia="Times New Roman"/>
          <w:b/>
          <w:sz w:val="24"/>
          <w:szCs w:val="24"/>
        </w:rPr>
        <w:t>Source and Authority</w:t>
      </w:r>
    </w:p>
    <w:p w14:paraId="307CAE77" w14:textId="53B58B30" w:rsidR="001007E7" w:rsidRPr="001007E7" w:rsidRDefault="001007E7" w:rsidP="001007E7">
      <w:pPr>
        <w:spacing w:after="240"/>
        <w:ind w:firstLine="720"/>
        <w:rPr>
          <w:rFonts w:eastAsia="Times New Roman"/>
          <w:sz w:val="24"/>
          <w:szCs w:val="24"/>
        </w:rPr>
      </w:pPr>
      <w:r w:rsidRPr="001007E7">
        <w:rPr>
          <w:rFonts w:eastAsia="Times New Roman"/>
          <w:sz w:val="24"/>
          <w:szCs w:val="24"/>
        </w:rPr>
        <w:t xml:space="preserve">1. This instruction is supported by section 10-3-1115(2), which provides that an insurer’s delay or denial in authorizing payment of a covered benefit is “unreasonable” if that conduct is without a reasonable basis. </w:t>
      </w:r>
      <w:r w:rsidRPr="001007E7">
        <w:rPr>
          <w:rFonts w:eastAsia="Times New Roman"/>
          <w:b/>
          <w:sz w:val="24"/>
          <w:szCs w:val="24"/>
        </w:rPr>
        <w:t>Am. Family Mut. Ins. Co. v. Hansen</w:t>
      </w:r>
      <w:r w:rsidRPr="001007E7">
        <w:rPr>
          <w:rFonts w:eastAsia="Times New Roman"/>
          <w:sz w:val="24"/>
          <w:szCs w:val="24"/>
        </w:rPr>
        <w:t xml:space="preserve">, 2016 CO 46, ¶ 32, 375 P.3d 115; </w:t>
      </w:r>
      <w:r w:rsidRPr="001007E7">
        <w:rPr>
          <w:rFonts w:eastAsia="Times New Roman"/>
          <w:b/>
          <w:sz w:val="24"/>
          <w:szCs w:val="24"/>
        </w:rPr>
        <w:t>Fisher v. State Farm Mut. Auto. Ins. Co.</w:t>
      </w:r>
      <w:r w:rsidRPr="001007E7">
        <w:rPr>
          <w:rFonts w:eastAsia="Times New Roman"/>
          <w:sz w:val="24"/>
          <w:szCs w:val="24"/>
        </w:rPr>
        <w:t>,</w:t>
      </w:r>
      <w:r w:rsidRPr="001007E7">
        <w:rPr>
          <w:rFonts w:eastAsia="Times New Roman"/>
          <w:b/>
          <w:sz w:val="24"/>
          <w:szCs w:val="24"/>
        </w:rPr>
        <w:t xml:space="preserve"> </w:t>
      </w:r>
      <w:r w:rsidRPr="001007E7">
        <w:rPr>
          <w:rFonts w:eastAsia="Times New Roman"/>
          <w:sz w:val="24"/>
          <w:szCs w:val="24"/>
        </w:rPr>
        <w:t>2015 COA 57, ¶¶ 53-54</w:t>
      </w:r>
      <w:r w:rsidR="003E604A">
        <w:rPr>
          <w:rFonts w:eastAsia="Times New Roman"/>
          <w:sz w:val="24"/>
          <w:szCs w:val="24"/>
        </w:rPr>
        <w:t xml:space="preserve">, 419 P.3d 985, </w:t>
      </w:r>
      <w:r w:rsidR="003E604A" w:rsidRPr="003E604A">
        <w:rPr>
          <w:rFonts w:eastAsia="Times New Roman"/>
          <w:i/>
          <w:sz w:val="24"/>
          <w:szCs w:val="24"/>
        </w:rPr>
        <w:t>aff’d on other grounds</w:t>
      </w:r>
      <w:r w:rsidR="003E604A">
        <w:rPr>
          <w:rFonts w:eastAsia="Times New Roman"/>
          <w:sz w:val="24"/>
          <w:szCs w:val="24"/>
        </w:rPr>
        <w:t>, 2018 CO 39, 418 P.3d 501</w:t>
      </w:r>
      <w:r w:rsidRPr="001007E7">
        <w:rPr>
          <w:rFonts w:eastAsia="Times New Roman"/>
          <w:sz w:val="24"/>
          <w:szCs w:val="24"/>
        </w:rPr>
        <w:t xml:space="preserve">; </w:t>
      </w:r>
      <w:r w:rsidRPr="001007E7">
        <w:rPr>
          <w:rFonts w:eastAsia="Times New Roman"/>
          <w:i/>
          <w:sz w:val="24"/>
          <w:szCs w:val="24"/>
        </w:rPr>
        <w:t>see</w:t>
      </w:r>
      <w:r w:rsidRPr="001007E7">
        <w:rPr>
          <w:rFonts w:eastAsia="Times New Roman"/>
          <w:sz w:val="24"/>
          <w:szCs w:val="24"/>
        </w:rPr>
        <w:t xml:space="preserve"> § 10-3-1113(1), (4), C.R.S.; </w:t>
      </w:r>
      <w:r w:rsidRPr="001007E7">
        <w:rPr>
          <w:rFonts w:eastAsia="Times New Roman"/>
          <w:i/>
          <w:sz w:val="24"/>
          <w:szCs w:val="24"/>
        </w:rPr>
        <w:t>see also</w:t>
      </w:r>
      <w:r w:rsidRPr="001007E7">
        <w:rPr>
          <w:rFonts w:eastAsia="Times New Roman"/>
          <w:sz w:val="24"/>
          <w:szCs w:val="24"/>
        </w:rPr>
        <w:t xml:space="preserve"> § 10-3-1104(1)(h)(I)–(XIV), C.R.S.</w:t>
      </w:r>
    </w:p>
    <w:p w14:paraId="3A3DE884" w14:textId="77777777" w:rsidR="001007E7" w:rsidRPr="001007E7" w:rsidRDefault="001007E7" w:rsidP="001007E7">
      <w:pPr>
        <w:spacing w:after="240"/>
        <w:ind w:firstLine="720"/>
        <w:rPr>
          <w:rFonts w:eastAsia="Times New Roman"/>
          <w:sz w:val="24"/>
          <w:szCs w:val="24"/>
        </w:rPr>
      </w:pPr>
      <w:r w:rsidRPr="001007E7">
        <w:rPr>
          <w:rFonts w:eastAsia="Times New Roman"/>
          <w:sz w:val="24"/>
          <w:szCs w:val="24"/>
        </w:rPr>
        <w:t>2. Section 10-3-1113(1) provides that an insurer acts in breach of its duty of good faith and fair dealing if it “delays or denies payment without a reasonable basis.”</w:t>
      </w:r>
    </w:p>
    <w:p w14:paraId="740DEF42" w14:textId="77777777" w:rsidR="001007E7" w:rsidRPr="001007E7" w:rsidRDefault="001007E7" w:rsidP="001007E7">
      <w:pPr>
        <w:spacing w:after="240"/>
        <w:ind w:firstLine="720"/>
        <w:rPr>
          <w:rFonts w:eastAsia="Times New Roman"/>
          <w:sz w:val="24"/>
          <w:szCs w:val="24"/>
        </w:rPr>
      </w:pPr>
      <w:r w:rsidRPr="001007E7">
        <w:rPr>
          <w:rFonts w:eastAsia="Times New Roman"/>
          <w:sz w:val="24"/>
          <w:szCs w:val="24"/>
        </w:rPr>
        <w:t xml:space="preserve">3. Expert testimony is not required to establish the standard of insurer unreasonableness under section 10-3-1115 when the insurer’s conduct is determined by legislative enactment or when the standard is within the common knowledge and experience of ordinary people. </w:t>
      </w:r>
      <w:r w:rsidRPr="001007E7">
        <w:rPr>
          <w:rFonts w:eastAsia="Times New Roman"/>
          <w:b/>
          <w:sz w:val="24"/>
          <w:szCs w:val="24"/>
        </w:rPr>
        <w:t>Fisher</w:t>
      </w:r>
      <w:r w:rsidRPr="001007E7">
        <w:rPr>
          <w:rFonts w:eastAsia="Times New Roman"/>
          <w:sz w:val="24"/>
          <w:szCs w:val="24"/>
        </w:rPr>
        <w:t>, ¶¶ 15 &amp; 54.</w:t>
      </w:r>
    </w:p>
    <w:p w14:paraId="55A0B8FA" w14:textId="77777777" w:rsidR="001007E7" w:rsidRPr="001007E7" w:rsidRDefault="001007E7" w:rsidP="001007E7">
      <w:pPr>
        <w:spacing w:after="240"/>
        <w:ind w:firstLine="720"/>
        <w:rPr>
          <w:rFonts w:eastAsia="Times New Roman"/>
          <w:sz w:val="24"/>
          <w:szCs w:val="24"/>
        </w:rPr>
      </w:pPr>
      <w:r w:rsidRPr="001007E7">
        <w:rPr>
          <w:rFonts w:eastAsia="Times New Roman"/>
          <w:sz w:val="24"/>
          <w:szCs w:val="24"/>
        </w:rPr>
        <w:t xml:space="preserve">4. Exclusion of industry standard expert testimony that consisted of bare assertions and conclusory opinions that the insurer’s conduct was consistent with industry standards, without description of those standards or how the insurer’s conduct comported with those standards, was not so prejudicial as to require a new trial. </w:t>
      </w:r>
      <w:r w:rsidRPr="001007E7">
        <w:rPr>
          <w:rFonts w:eastAsia="Times New Roman"/>
          <w:b/>
          <w:sz w:val="24"/>
          <w:szCs w:val="24"/>
        </w:rPr>
        <w:t>Fisher</w:t>
      </w:r>
      <w:r w:rsidRPr="001007E7">
        <w:rPr>
          <w:rFonts w:eastAsia="Times New Roman"/>
          <w:sz w:val="24"/>
          <w:szCs w:val="24"/>
        </w:rPr>
        <w:t>, ¶ 60.</w:t>
      </w:r>
    </w:p>
    <w:p w14:paraId="11E52E5B" w14:textId="77777777" w:rsidR="001007E7" w:rsidRPr="001007E7" w:rsidRDefault="001007E7" w:rsidP="001007E7">
      <w:pPr>
        <w:spacing w:after="240"/>
        <w:ind w:firstLine="720"/>
        <w:rPr>
          <w:rFonts w:eastAsia="Times New Roman"/>
          <w:sz w:val="24"/>
          <w:szCs w:val="24"/>
        </w:rPr>
      </w:pPr>
      <w:r w:rsidRPr="001007E7">
        <w:rPr>
          <w:rFonts w:eastAsia="Times New Roman"/>
          <w:sz w:val="24"/>
          <w:szCs w:val="24"/>
        </w:rPr>
        <w:t xml:space="preserve">5. CRE 408 precludes admission of evidence of an insurer’s refusal to pay the amount of a rejected initial offer to settle a UIM claim as proof of the amount of undisputed benefits owed. </w:t>
      </w:r>
      <w:r w:rsidRPr="001007E7">
        <w:rPr>
          <w:rFonts w:eastAsia="Times New Roman"/>
          <w:b/>
          <w:sz w:val="24"/>
          <w:szCs w:val="24"/>
        </w:rPr>
        <w:t>Fisher</w:t>
      </w:r>
      <w:r w:rsidRPr="001007E7">
        <w:rPr>
          <w:rFonts w:eastAsia="Times New Roman"/>
          <w:sz w:val="24"/>
          <w:szCs w:val="24"/>
        </w:rPr>
        <w:t>, ¶ 15.</w:t>
      </w:r>
    </w:p>
    <w:p w14:paraId="2030233D" w14:textId="77777777" w:rsidR="001007E7" w:rsidRPr="001007E7" w:rsidRDefault="001007E7" w:rsidP="001007E7">
      <w:pPr>
        <w:spacing w:after="240"/>
        <w:ind w:firstLine="720"/>
        <w:rPr>
          <w:rFonts w:eastAsia="Times New Roman"/>
          <w:sz w:val="24"/>
          <w:szCs w:val="24"/>
        </w:rPr>
      </w:pPr>
      <w:r w:rsidRPr="001007E7">
        <w:rPr>
          <w:rFonts w:eastAsia="Times New Roman"/>
          <w:sz w:val="24"/>
          <w:szCs w:val="24"/>
        </w:rPr>
        <w:t xml:space="preserve">6. “Whether the insurer has acted reasonably in denying or delaying approval of a claim will be determined on an objective basis, requiring proof of the standards of conduct in the industry.” </w:t>
      </w:r>
      <w:r w:rsidRPr="001007E7">
        <w:rPr>
          <w:rFonts w:eastAsia="Times New Roman"/>
          <w:b/>
          <w:sz w:val="24"/>
          <w:szCs w:val="24"/>
        </w:rPr>
        <w:t>Travelers Ins. Co. v. Savio</w:t>
      </w:r>
      <w:r w:rsidRPr="001007E7">
        <w:rPr>
          <w:rFonts w:eastAsia="Times New Roman"/>
          <w:sz w:val="24"/>
          <w:szCs w:val="24"/>
        </w:rPr>
        <w:t>, 706 P.2d 1258, 1275 (Colo. 1985) (addressing first-party common-law claim).</w:t>
      </w:r>
    </w:p>
    <w:p w14:paraId="71C4AE41" w14:textId="77777777" w:rsidR="001007E7" w:rsidRPr="001007E7" w:rsidRDefault="001007E7" w:rsidP="001007E7">
      <w:pPr>
        <w:spacing w:after="240"/>
        <w:ind w:firstLine="720"/>
        <w:rPr>
          <w:rFonts w:eastAsia="Times New Roman"/>
          <w:sz w:val="24"/>
          <w:szCs w:val="24"/>
        </w:rPr>
      </w:pPr>
      <w:r w:rsidRPr="001007E7">
        <w:rPr>
          <w:rFonts w:eastAsia="Times New Roman"/>
          <w:sz w:val="24"/>
          <w:szCs w:val="24"/>
        </w:rPr>
        <w:t xml:space="preserve">7. The fact that a claim may be “fairly debatable” in the context of a first-party common law claim for bad faith does not establish, as a matter of law, that an insurer’s delay or denial of benefits was reasonable under section 10-3-1115(2). </w:t>
      </w:r>
      <w:r w:rsidRPr="001007E7">
        <w:rPr>
          <w:rFonts w:eastAsia="Times New Roman"/>
          <w:b/>
          <w:sz w:val="24"/>
          <w:szCs w:val="24"/>
        </w:rPr>
        <w:t>Vaccaro v. Am. Family Ins. Grp.</w:t>
      </w:r>
      <w:r w:rsidRPr="001007E7">
        <w:rPr>
          <w:rFonts w:eastAsia="Times New Roman"/>
          <w:sz w:val="24"/>
          <w:szCs w:val="24"/>
        </w:rPr>
        <w:t xml:space="preserve">, 2012 COA 9M, ¶ 42, 275 P.3d 750 (citing </w:t>
      </w:r>
      <w:r w:rsidRPr="001007E7">
        <w:rPr>
          <w:rFonts w:eastAsia="Times New Roman"/>
          <w:b/>
          <w:sz w:val="24"/>
          <w:szCs w:val="24"/>
        </w:rPr>
        <w:t>Sanderson v. Am. Family Mut. Ins. Co.</w:t>
      </w:r>
      <w:r w:rsidRPr="001007E7">
        <w:rPr>
          <w:rFonts w:eastAsia="Times New Roman"/>
          <w:sz w:val="24"/>
          <w:szCs w:val="24"/>
        </w:rPr>
        <w:t>, 251 P.3d 1213, 1217 (Colo. App. 2010)).</w:t>
      </w:r>
    </w:p>
    <w:p w14:paraId="215DDE50" w14:textId="21322A58" w:rsidR="001007E7" w:rsidRPr="001007E7" w:rsidRDefault="001007E7" w:rsidP="001007E7">
      <w:pPr>
        <w:spacing w:after="240"/>
        <w:ind w:firstLine="720"/>
        <w:rPr>
          <w:rFonts w:eastAsia="Times New Roman"/>
          <w:sz w:val="24"/>
          <w:szCs w:val="24"/>
        </w:rPr>
      </w:pPr>
      <w:r w:rsidRPr="001007E7">
        <w:rPr>
          <w:rFonts w:eastAsia="Times New Roman"/>
          <w:sz w:val="24"/>
          <w:szCs w:val="24"/>
        </w:rPr>
        <w:lastRenderedPageBreak/>
        <w:t xml:space="preserve">8. In </w:t>
      </w:r>
      <w:r w:rsidRPr="001007E7">
        <w:rPr>
          <w:rFonts w:eastAsia="Times New Roman"/>
          <w:b/>
          <w:sz w:val="24"/>
          <w:szCs w:val="24"/>
        </w:rPr>
        <w:t>Hansen</w:t>
      </w:r>
      <w:r w:rsidRPr="001007E7">
        <w:rPr>
          <w:rFonts w:eastAsia="Times New Roman"/>
          <w:sz w:val="24"/>
          <w:szCs w:val="24"/>
        </w:rPr>
        <w:t xml:space="preserve">, ¶ 32, </w:t>
      </w:r>
      <w:r w:rsidR="00BA2682">
        <w:rPr>
          <w:rFonts w:eastAsia="Times New Roman"/>
          <w:sz w:val="24"/>
          <w:szCs w:val="24"/>
        </w:rPr>
        <w:t xml:space="preserve">375 P.3d at 122, </w:t>
      </w:r>
      <w:r w:rsidRPr="001007E7">
        <w:rPr>
          <w:rFonts w:eastAsia="Times New Roman"/>
          <w:sz w:val="24"/>
          <w:szCs w:val="24"/>
        </w:rPr>
        <w:t>the court held that an insurer’s denial of a claim in reliance on an unambiguous insurance contract term was reasonable and could not establish liability under section 10-3-1115(2).</w:t>
      </w:r>
    </w:p>
    <w:p w14:paraId="29266FB7" w14:textId="77777777" w:rsidR="001007E7" w:rsidRDefault="001007E7">
      <w:pPr>
        <w:rPr>
          <w:rFonts w:eastAsia="Times New Roman"/>
          <w:sz w:val="24"/>
          <w:szCs w:val="24"/>
        </w:rPr>
      </w:pPr>
      <w:r>
        <w:rPr>
          <w:rFonts w:eastAsia="Times New Roman"/>
          <w:sz w:val="24"/>
          <w:szCs w:val="24"/>
        </w:rPr>
        <w:br w:type="page"/>
      </w:r>
    </w:p>
    <w:p w14:paraId="4298925A" w14:textId="77777777" w:rsidR="001007E7" w:rsidRPr="009E3DA4" w:rsidRDefault="001007E7" w:rsidP="001007E7">
      <w:pPr>
        <w:spacing w:after="240"/>
        <w:ind w:left="720" w:hanging="720"/>
        <w:rPr>
          <w:rFonts w:eastAsia="Times New Roman"/>
          <w:b/>
          <w:sz w:val="24"/>
          <w:szCs w:val="24"/>
        </w:rPr>
      </w:pPr>
      <w:bookmarkStart w:id="6" w:name="a25_06"/>
      <w:bookmarkEnd w:id="6"/>
      <w:r w:rsidRPr="001007E7">
        <w:rPr>
          <w:rFonts w:eastAsia="Times New Roman"/>
          <w:b/>
          <w:sz w:val="24"/>
          <w:szCs w:val="24"/>
        </w:rPr>
        <w:lastRenderedPageBreak/>
        <w:t xml:space="preserve">25:6 </w:t>
      </w:r>
      <w:r w:rsidRPr="001007E7">
        <w:rPr>
          <w:rFonts w:eastAsia="Times New Roman"/>
          <w:b/>
          <w:sz w:val="24"/>
          <w:szCs w:val="24"/>
        </w:rPr>
        <w:tab/>
        <w:t>UNREASONABLE CONDUCT/UNREASONABLE POSITION — STATUTORY VIOLATIONS — DEFINED</w:t>
      </w:r>
    </w:p>
    <w:p w14:paraId="72335C7C" w14:textId="77777777" w:rsidR="001007E7" w:rsidRPr="001007E7" w:rsidRDefault="001007E7" w:rsidP="001007E7">
      <w:pPr>
        <w:spacing w:after="240"/>
        <w:ind w:firstLine="720"/>
        <w:rPr>
          <w:rFonts w:eastAsia="Times New Roman"/>
          <w:b/>
          <w:sz w:val="24"/>
          <w:szCs w:val="24"/>
        </w:rPr>
      </w:pPr>
      <w:r w:rsidRPr="001007E7">
        <w:rPr>
          <w:rFonts w:eastAsia="Times New Roman"/>
          <w:b/>
          <w:sz w:val="24"/>
          <w:szCs w:val="24"/>
        </w:rPr>
        <w:t xml:space="preserve">The statutes of Colorado prohibit an insurance company from willfully: </w:t>
      </w:r>
      <w:r w:rsidRPr="001007E7">
        <w:rPr>
          <w:rFonts w:eastAsia="Times New Roman"/>
          <w:i/>
          <w:sz w:val="24"/>
          <w:szCs w:val="24"/>
        </w:rPr>
        <w:t>(Insert from § 10-3-1104 (1)(h)(I) through (XIV), C.R.S., using separately numbered subparagraphs for each, a suitable description of any relevant “unfair claims settlement practice” of which there is sufficient evidence)</w:t>
      </w:r>
      <w:r w:rsidRPr="001007E7">
        <w:rPr>
          <w:rFonts w:eastAsia="Times New Roman"/>
          <w:b/>
          <w:sz w:val="24"/>
          <w:szCs w:val="24"/>
        </w:rPr>
        <w:t>.</w:t>
      </w:r>
    </w:p>
    <w:p w14:paraId="3770006D" w14:textId="77777777" w:rsidR="001007E7" w:rsidRPr="001007E7" w:rsidRDefault="001007E7" w:rsidP="001007E7">
      <w:pPr>
        <w:spacing w:after="240"/>
        <w:ind w:firstLine="720"/>
        <w:rPr>
          <w:rFonts w:eastAsia="Times New Roman"/>
          <w:b/>
          <w:sz w:val="24"/>
          <w:szCs w:val="24"/>
        </w:rPr>
      </w:pPr>
      <w:r w:rsidRPr="001007E7">
        <w:rPr>
          <w:rFonts w:eastAsia="Times New Roman"/>
          <w:b/>
          <w:sz w:val="24"/>
          <w:szCs w:val="24"/>
        </w:rPr>
        <w:t>You may consider any such conduct in determining whether the defendant acted unreasonably in (denying) (or) (delaying) payment if you find that:</w:t>
      </w:r>
    </w:p>
    <w:p w14:paraId="5ECD2758" w14:textId="77777777" w:rsidR="001007E7" w:rsidRPr="001007E7" w:rsidRDefault="001007E7" w:rsidP="001007E7">
      <w:pPr>
        <w:spacing w:after="240"/>
        <w:ind w:firstLine="720"/>
        <w:rPr>
          <w:rFonts w:eastAsia="Times New Roman"/>
          <w:b/>
          <w:sz w:val="24"/>
          <w:szCs w:val="24"/>
        </w:rPr>
      </w:pPr>
      <w:r w:rsidRPr="001007E7">
        <w:rPr>
          <w:rFonts w:eastAsia="Times New Roman"/>
          <w:b/>
          <w:sz w:val="24"/>
          <w:szCs w:val="24"/>
        </w:rPr>
        <w:t xml:space="preserve">1. The defendant </w:t>
      </w:r>
      <w:r w:rsidRPr="001007E7">
        <w:rPr>
          <w:rFonts w:eastAsia="Times New Roman"/>
          <w:i/>
          <w:sz w:val="24"/>
          <w:szCs w:val="24"/>
        </w:rPr>
        <w:t>(name)</w:t>
      </w:r>
      <w:r w:rsidRPr="001007E7">
        <w:rPr>
          <w:rFonts w:eastAsia="Times New Roman"/>
          <w:b/>
          <w:sz w:val="24"/>
          <w:szCs w:val="24"/>
        </w:rPr>
        <w:t xml:space="preserve"> willfully engaged in such conduct;</w:t>
      </w:r>
    </w:p>
    <w:p w14:paraId="7F6B3B53" w14:textId="77777777" w:rsidR="001007E7" w:rsidRPr="001007E7" w:rsidRDefault="001007E7" w:rsidP="001007E7">
      <w:pPr>
        <w:spacing w:after="240"/>
        <w:ind w:firstLine="720"/>
        <w:rPr>
          <w:rFonts w:eastAsia="Times New Roman"/>
          <w:b/>
          <w:sz w:val="24"/>
          <w:szCs w:val="24"/>
        </w:rPr>
      </w:pPr>
      <w:r w:rsidRPr="001007E7">
        <w:rPr>
          <w:rFonts w:eastAsia="Times New Roman"/>
          <w:b/>
          <w:sz w:val="24"/>
          <w:szCs w:val="24"/>
        </w:rPr>
        <w:t>2. Such conduct caused or contributed to the defendant’s (denial) (or) (delay) of payment of the plaintiff’s insurance claim; and</w:t>
      </w:r>
    </w:p>
    <w:p w14:paraId="4FCFCF9E" w14:textId="77777777" w:rsidR="001007E7" w:rsidRPr="001007E7" w:rsidRDefault="001007E7" w:rsidP="001007E7">
      <w:pPr>
        <w:spacing w:after="240"/>
        <w:ind w:firstLine="720"/>
        <w:rPr>
          <w:rFonts w:eastAsia="Times New Roman"/>
          <w:b/>
          <w:sz w:val="24"/>
          <w:szCs w:val="24"/>
        </w:rPr>
      </w:pPr>
      <w:r w:rsidRPr="001007E7">
        <w:rPr>
          <w:rFonts w:eastAsia="Times New Roman"/>
          <w:b/>
          <w:sz w:val="24"/>
          <w:szCs w:val="24"/>
        </w:rPr>
        <w:t>3. Such conduct caused or contributed to any of the plaintiff’s claimed (injuries) (damages) (losses).</w:t>
      </w:r>
    </w:p>
    <w:p w14:paraId="725CD2F6" w14:textId="77777777" w:rsidR="001007E7" w:rsidRDefault="001007E7" w:rsidP="001007E7">
      <w:pPr>
        <w:jc w:val="center"/>
        <w:rPr>
          <w:rFonts w:eastAsia="Times New Roman"/>
          <w:sz w:val="24"/>
          <w:szCs w:val="24"/>
        </w:rPr>
      </w:pPr>
    </w:p>
    <w:p w14:paraId="6E161D27" w14:textId="77777777" w:rsidR="001007E7" w:rsidRPr="0054263B" w:rsidRDefault="001007E7" w:rsidP="001007E7">
      <w:pPr>
        <w:keepNext/>
        <w:spacing w:after="240"/>
        <w:jc w:val="center"/>
        <w:rPr>
          <w:rFonts w:eastAsia="Times New Roman"/>
          <w:b/>
          <w:sz w:val="24"/>
          <w:szCs w:val="24"/>
        </w:rPr>
      </w:pPr>
      <w:r w:rsidRPr="0054263B">
        <w:rPr>
          <w:rFonts w:eastAsia="Times New Roman"/>
          <w:b/>
          <w:sz w:val="24"/>
          <w:szCs w:val="24"/>
        </w:rPr>
        <w:t>Notes on Use</w:t>
      </w:r>
    </w:p>
    <w:p w14:paraId="61694FAF" w14:textId="77777777" w:rsidR="001007E7" w:rsidRPr="001007E7" w:rsidRDefault="001007E7" w:rsidP="001007E7">
      <w:pPr>
        <w:spacing w:after="240"/>
        <w:ind w:firstLine="720"/>
        <w:rPr>
          <w:rFonts w:eastAsia="Times New Roman"/>
          <w:sz w:val="24"/>
          <w:szCs w:val="24"/>
        </w:rPr>
      </w:pPr>
      <w:r w:rsidRPr="001007E7">
        <w:rPr>
          <w:rFonts w:eastAsia="Times New Roman"/>
          <w:sz w:val="24"/>
          <w:szCs w:val="24"/>
        </w:rPr>
        <w:t xml:space="preserve">1. Under section 10-3-1113(4), C.R.S., this instruction should be used only in cases in which there is sufficient evidence of a willful violation of one or more subparagraphs (I) through (XIV) of section 10-3-1104(1)(h), C.R.S., Colorado’s version of the Unfair Claim Settlement Practices Act (UCSPA). This instruction does not apply, however, to violations of more recently added subparagraphs (XV) through (XVII) of section 10-3-1104(1)(h), because those subparagraphs are not included in the cross reference made in section 10-3-1113(4) to section 10-3-1104(1)(h)(I)-(XIV). </w:t>
      </w:r>
    </w:p>
    <w:p w14:paraId="2022E9C8" w14:textId="77777777" w:rsidR="001007E7" w:rsidRPr="001007E7" w:rsidRDefault="001007E7" w:rsidP="001007E7">
      <w:pPr>
        <w:spacing w:after="240"/>
        <w:ind w:firstLine="720"/>
        <w:rPr>
          <w:rFonts w:eastAsia="Times New Roman"/>
          <w:sz w:val="24"/>
          <w:szCs w:val="24"/>
        </w:rPr>
      </w:pPr>
      <w:r w:rsidRPr="001007E7">
        <w:rPr>
          <w:rFonts w:eastAsia="Times New Roman"/>
          <w:sz w:val="24"/>
          <w:szCs w:val="24"/>
        </w:rPr>
        <w:t>2. When this instruction is given, additional instructions should also be given, if necessary, defining any legal terms in any applicable subparagraph that might not otherwise be understandable to the jury.</w:t>
      </w:r>
    </w:p>
    <w:p w14:paraId="766F6523" w14:textId="77777777" w:rsidR="001007E7" w:rsidRPr="001007E7" w:rsidRDefault="001007E7" w:rsidP="001007E7">
      <w:pPr>
        <w:spacing w:after="240"/>
        <w:ind w:firstLine="720"/>
        <w:rPr>
          <w:rFonts w:eastAsia="Times New Roman"/>
          <w:sz w:val="24"/>
          <w:szCs w:val="24"/>
        </w:rPr>
      </w:pPr>
      <w:r w:rsidRPr="001007E7">
        <w:rPr>
          <w:rFonts w:eastAsia="Times New Roman"/>
          <w:sz w:val="24"/>
          <w:szCs w:val="24"/>
        </w:rPr>
        <w:t xml:space="preserve">3. Section 10-3-1113, which authorizes admission of evidence that the insurer violated section 10-3-1104(1)(h), refers only to the delay or denial of payment. Caselaw, however, has established that an insurer’s duties of good faith and fair dealing are broader than the obligation not to delay or withhold payment unreasonably and extend to the entire relationship between the parties. </w:t>
      </w:r>
      <w:r w:rsidRPr="001007E7">
        <w:rPr>
          <w:rFonts w:eastAsia="Times New Roman"/>
          <w:i/>
          <w:sz w:val="24"/>
          <w:szCs w:val="24"/>
        </w:rPr>
        <w:t xml:space="preserve">See </w:t>
      </w:r>
      <w:r w:rsidRPr="001007E7">
        <w:rPr>
          <w:rFonts w:eastAsia="Times New Roman"/>
          <w:b/>
          <w:sz w:val="24"/>
          <w:szCs w:val="24"/>
        </w:rPr>
        <w:t>Ballow v. PHICO Ins. Co.</w:t>
      </w:r>
      <w:r w:rsidRPr="001007E7">
        <w:rPr>
          <w:rFonts w:eastAsia="Times New Roman"/>
          <w:sz w:val="24"/>
          <w:szCs w:val="24"/>
        </w:rPr>
        <w:t xml:space="preserve">, 875 P.2d 1354 (Colo. 1993). Whether this instruction may be modified for use when the alleged misconduct at issue is other than denial of or delay in payment of a claim has not yet been expressly decided. </w:t>
      </w:r>
      <w:r w:rsidRPr="001007E7">
        <w:rPr>
          <w:rFonts w:eastAsia="Times New Roman"/>
          <w:i/>
          <w:sz w:val="24"/>
          <w:szCs w:val="24"/>
        </w:rPr>
        <w:t xml:space="preserve">See </w:t>
      </w:r>
      <w:r w:rsidRPr="001007E7">
        <w:rPr>
          <w:rFonts w:eastAsia="Times New Roman"/>
          <w:b/>
          <w:sz w:val="24"/>
          <w:szCs w:val="24"/>
        </w:rPr>
        <w:t>Dale v. Guar. Nat’l Ins. Co.</w:t>
      </w:r>
      <w:r w:rsidRPr="001007E7">
        <w:rPr>
          <w:rFonts w:eastAsia="Times New Roman"/>
          <w:sz w:val="24"/>
          <w:szCs w:val="24"/>
        </w:rPr>
        <w:t>,</w:t>
      </w:r>
      <w:r w:rsidRPr="001007E7">
        <w:rPr>
          <w:rFonts w:eastAsia="Times New Roman"/>
          <w:b/>
          <w:sz w:val="24"/>
          <w:szCs w:val="24"/>
        </w:rPr>
        <w:t xml:space="preserve"> </w:t>
      </w:r>
      <w:r w:rsidRPr="001007E7">
        <w:rPr>
          <w:rFonts w:eastAsia="Times New Roman"/>
          <w:sz w:val="24"/>
          <w:szCs w:val="24"/>
        </w:rPr>
        <w:t>948 P.2d 545 (Colo. 1997) (insurance practices prohibited by statute illustrate conduct that legislature has determined to be unreasonable).</w:t>
      </w:r>
    </w:p>
    <w:p w14:paraId="2A87D47F" w14:textId="77777777" w:rsidR="001007E7" w:rsidRPr="001007E7" w:rsidRDefault="001007E7" w:rsidP="001007E7">
      <w:pPr>
        <w:spacing w:after="240"/>
        <w:ind w:firstLine="720"/>
        <w:rPr>
          <w:rFonts w:eastAsia="Times New Roman"/>
          <w:sz w:val="24"/>
          <w:szCs w:val="24"/>
        </w:rPr>
      </w:pPr>
      <w:r w:rsidRPr="001007E7">
        <w:rPr>
          <w:rFonts w:eastAsia="Times New Roman"/>
          <w:sz w:val="24"/>
          <w:szCs w:val="24"/>
        </w:rPr>
        <w:t>4. If this instruction is given and there is a dispute as to whether payment was denied or otherwise delayed, appropriate modifications should be made in the last paragraph of the instruction.</w:t>
      </w:r>
    </w:p>
    <w:p w14:paraId="37EFCB74" w14:textId="77777777" w:rsidR="001007E7" w:rsidRPr="0054263B" w:rsidRDefault="001007E7" w:rsidP="001007E7">
      <w:pPr>
        <w:keepNext/>
        <w:spacing w:after="240"/>
        <w:jc w:val="center"/>
        <w:rPr>
          <w:rFonts w:eastAsia="Times New Roman"/>
          <w:b/>
          <w:sz w:val="24"/>
          <w:szCs w:val="24"/>
        </w:rPr>
      </w:pPr>
      <w:r>
        <w:rPr>
          <w:rFonts w:eastAsia="Times New Roman"/>
          <w:b/>
          <w:sz w:val="24"/>
          <w:szCs w:val="24"/>
        </w:rPr>
        <w:lastRenderedPageBreak/>
        <w:t>Source and Authority</w:t>
      </w:r>
    </w:p>
    <w:p w14:paraId="055CE747" w14:textId="797C8E03" w:rsidR="001007E7" w:rsidRPr="001007E7" w:rsidRDefault="001007E7" w:rsidP="001007E7">
      <w:pPr>
        <w:spacing w:after="240"/>
        <w:ind w:firstLine="720"/>
        <w:rPr>
          <w:rFonts w:eastAsia="Times New Roman"/>
          <w:sz w:val="24"/>
          <w:szCs w:val="24"/>
        </w:rPr>
      </w:pPr>
      <w:r w:rsidRPr="001007E7">
        <w:rPr>
          <w:rFonts w:eastAsia="Times New Roman"/>
          <w:sz w:val="24"/>
          <w:szCs w:val="24"/>
        </w:rPr>
        <w:t xml:space="preserve">1. This instruction is supported by section 10-3-1113(4), which specifically incorporates subparagraphs (I) through (XIV) of section 10-3-1104(1)(h), but which does not incorporate later-added subparagraphs (XV) through (XVII) of section 10-3-1104(1)(h). </w:t>
      </w:r>
      <w:r w:rsidRPr="001007E7">
        <w:rPr>
          <w:rFonts w:eastAsia="Times New Roman"/>
          <w:i/>
          <w:sz w:val="24"/>
          <w:szCs w:val="24"/>
        </w:rPr>
        <w:t>See also</w:t>
      </w:r>
      <w:r w:rsidRPr="001007E7">
        <w:rPr>
          <w:rFonts w:eastAsia="Times New Roman"/>
          <w:sz w:val="24"/>
          <w:szCs w:val="24"/>
        </w:rPr>
        <w:t xml:space="preserve"> </w:t>
      </w:r>
      <w:r w:rsidRPr="001007E7">
        <w:rPr>
          <w:rFonts w:eastAsia="Times New Roman"/>
          <w:b/>
          <w:sz w:val="24"/>
          <w:szCs w:val="24"/>
        </w:rPr>
        <w:t>Peiffer v. State Farm Mut. Auto. Ins. Co.</w:t>
      </w:r>
      <w:r w:rsidRPr="001007E7">
        <w:rPr>
          <w:rFonts w:eastAsia="Times New Roman"/>
          <w:sz w:val="24"/>
          <w:szCs w:val="24"/>
        </w:rPr>
        <w:t xml:space="preserve">, 940 P.2d 967 (Colo. App. 1996) (in determining whether insurer’s delay in paying benefits or its denial of benefits was reasonable, jury may consider evidence that insurer’s conduct violated any of the applicable subparagraphs of section 10-3-1104(1)(h)), </w:t>
      </w:r>
      <w:r w:rsidRPr="001007E7">
        <w:rPr>
          <w:rFonts w:eastAsia="Times New Roman"/>
          <w:i/>
          <w:sz w:val="24"/>
          <w:szCs w:val="24"/>
        </w:rPr>
        <w:t>aff’d</w:t>
      </w:r>
      <w:r w:rsidRPr="001007E7">
        <w:rPr>
          <w:rFonts w:eastAsia="Times New Roman"/>
          <w:sz w:val="24"/>
          <w:szCs w:val="24"/>
        </w:rPr>
        <w:t>, 955 P.2d 1008 (Colo. 1998).</w:t>
      </w:r>
    </w:p>
    <w:p w14:paraId="582142DE" w14:textId="77777777" w:rsidR="001007E7" w:rsidRPr="001007E7" w:rsidRDefault="001007E7" w:rsidP="001007E7">
      <w:pPr>
        <w:spacing w:after="240"/>
        <w:ind w:firstLine="720"/>
        <w:rPr>
          <w:rFonts w:eastAsia="Times New Roman"/>
          <w:sz w:val="24"/>
          <w:szCs w:val="24"/>
        </w:rPr>
      </w:pPr>
      <w:r w:rsidRPr="001007E7">
        <w:rPr>
          <w:rFonts w:eastAsia="Times New Roman"/>
          <w:sz w:val="24"/>
          <w:szCs w:val="24"/>
        </w:rPr>
        <w:t xml:space="preserve">2. Where plaintiff relied on statutory violations and a failure to investigate his claim, proof of industry standards through expert testimony was unnecessary to establish a bad faith breach of insurance contract. </w:t>
      </w:r>
      <w:r w:rsidRPr="001007E7">
        <w:rPr>
          <w:rFonts w:eastAsia="Times New Roman"/>
          <w:b/>
          <w:sz w:val="24"/>
          <w:szCs w:val="24"/>
        </w:rPr>
        <w:t>Giampapa v. Am. Family Mut. Ins. Co.</w:t>
      </w:r>
      <w:r w:rsidRPr="001007E7">
        <w:rPr>
          <w:rFonts w:eastAsia="Times New Roman"/>
          <w:sz w:val="24"/>
          <w:szCs w:val="24"/>
        </w:rPr>
        <w:t>,</w:t>
      </w:r>
      <w:r w:rsidRPr="001007E7">
        <w:rPr>
          <w:rFonts w:eastAsia="Times New Roman"/>
          <w:b/>
          <w:sz w:val="24"/>
          <w:szCs w:val="24"/>
        </w:rPr>
        <w:t xml:space="preserve"> </w:t>
      </w:r>
      <w:r w:rsidRPr="001007E7">
        <w:rPr>
          <w:rFonts w:eastAsia="Times New Roman"/>
          <w:sz w:val="24"/>
          <w:szCs w:val="24"/>
        </w:rPr>
        <w:t xml:space="preserve">919 P.2d 838 (Colo. App. 1995). In </w:t>
      </w:r>
      <w:r w:rsidRPr="001007E7">
        <w:rPr>
          <w:rFonts w:eastAsia="Times New Roman"/>
          <w:b/>
          <w:sz w:val="24"/>
          <w:szCs w:val="24"/>
        </w:rPr>
        <w:t>American Family Mutual Insurance Co. v. Allen</w:t>
      </w:r>
      <w:r w:rsidRPr="001007E7">
        <w:rPr>
          <w:rFonts w:eastAsia="Times New Roman"/>
          <w:sz w:val="24"/>
          <w:szCs w:val="24"/>
        </w:rPr>
        <w:t>,</w:t>
      </w:r>
      <w:r w:rsidRPr="001007E7">
        <w:rPr>
          <w:rFonts w:eastAsia="Times New Roman"/>
          <w:b/>
          <w:sz w:val="24"/>
          <w:szCs w:val="24"/>
        </w:rPr>
        <w:t xml:space="preserve"> </w:t>
      </w:r>
      <w:r w:rsidRPr="001007E7">
        <w:rPr>
          <w:rFonts w:eastAsia="Times New Roman"/>
          <w:sz w:val="24"/>
          <w:szCs w:val="24"/>
        </w:rPr>
        <w:t xml:space="preserve">102 P.3d 333, 344 (Colo. 2004), the supreme court observed that the UCSPA regulates insurers’ conduct, but does not create a private right of action; nonetheless, the court held that the Act’s standards “may be used as valid, but not conclusive, evidence of industry standards . . . .” </w:t>
      </w:r>
    </w:p>
    <w:p w14:paraId="0F0F21B5" w14:textId="77777777" w:rsidR="001007E7" w:rsidRPr="001007E7" w:rsidRDefault="001007E7" w:rsidP="001007E7">
      <w:pPr>
        <w:spacing w:after="240"/>
        <w:ind w:firstLine="720"/>
        <w:rPr>
          <w:rFonts w:eastAsia="Times New Roman"/>
          <w:sz w:val="24"/>
          <w:szCs w:val="24"/>
        </w:rPr>
      </w:pPr>
      <w:r w:rsidRPr="001007E7">
        <w:rPr>
          <w:rFonts w:eastAsia="Times New Roman"/>
          <w:sz w:val="24"/>
          <w:szCs w:val="24"/>
        </w:rPr>
        <w:t xml:space="preserve">3. In </w:t>
      </w:r>
      <w:r w:rsidRPr="001007E7">
        <w:rPr>
          <w:rFonts w:eastAsia="Times New Roman"/>
          <w:b/>
          <w:sz w:val="24"/>
          <w:szCs w:val="24"/>
        </w:rPr>
        <w:t xml:space="preserve">Parsons </w:t>
      </w:r>
      <w:r w:rsidRPr="001134B3">
        <w:rPr>
          <w:rFonts w:eastAsia="Times New Roman"/>
          <w:b/>
          <w:sz w:val="24"/>
          <w:szCs w:val="24"/>
        </w:rPr>
        <w:t>ex rel.</w:t>
      </w:r>
      <w:r w:rsidRPr="001007E7">
        <w:rPr>
          <w:rFonts w:eastAsia="Times New Roman"/>
          <w:b/>
          <w:sz w:val="24"/>
          <w:szCs w:val="24"/>
        </w:rPr>
        <w:t xml:space="preserve"> Parsons</w:t>
      </w:r>
      <w:r w:rsidRPr="001007E7">
        <w:rPr>
          <w:rFonts w:eastAsia="Times New Roman"/>
          <w:b/>
          <w:i/>
          <w:sz w:val="24"/>
          <w:szCs w:val="24"/>
        </w:rPr>
        <w:t xml:space="preserve"> </w:t>
      </w:r>
      <w:r w:rsidRPr="001007E7">
        <w:rPr>
          <w:rFonts w:eastAsia="Times New Roman"/>
          <w:b/>
          <w:sz w:val="24"/>
          <w:szCs w:val="24"/>
        </w:rPr>
        <w:t>v. Allstate Insurance Co.</w:t>
      </w:r>
      <w:r w:rsidRPr="001007E7">
        <w:rPr>
          <w:rFonts w:eastAsia="Times New Roman"/>
          <w:sz w:val="24"/>
          <w:szCs w:val="24"/>
        </w:rPr>
        <w:t xml:space="preserve">, 165 P.3d 809, 817 (Colo. App. 2006), the court recognized that certain practices that violate the UCSPA, “such as not attempting in good faith to effectuate a prompt, fair, and equitable settlement once liability has become reasonably clear,” might implicate conduct occurring after litigation is commenced. Those factors may be considered as evidence of an insurer’s post-filing litigation conduct if the evidence satisfies the test established in </w:t>
      </w:r>
      <w:r w:rsidRPr="001007E7">
        <w:rPr>
          <w:rFonts w:eastAsia="Times New Roman"/>
          <w:b/>
          <w:sz w:val="24"/>
          <w:szCs w:val="24"/>
        </w:rPr>
        <w:t>Parsons</w:t>
      </w:r>
      <w:r w:rsidRPr="001007E7">
        <w:rPr>
          <w:rFonts w:eastAsia="Times New Roman"/>
          <w:sz w:val="24"/>
          <w:szCs w:val="24"/>
        </w:rPr>
        <w:t xml:space="preserve">. </w:t>
      </w:r>
      <w:r w:rsidRPr="001007E7">
        <w:rPr>
          <w:rFonts w:eastAsia="Times New Roman"/>
          <w:i/>
          <w:sz w:val="24"/>
          <w:szCs w:val="24"/>
        </w:rPr>
        <w:t>See id.</w:t>
      </w:r>
      <w:r w:rsidRPr="001007E7">
        <w:rPr>
          <w:rFonts w:eastAsia="Times New Roman"/>
          <w:sz w:val="24"/>
          <w:szCs w:val="24"/>
        </w:rPr>
        <w:t xml:space="preserve"> </w:t>
      </w:r>
    </w:p>
    <w:p w14:paraId="528CD52D" w14:textId="77777777" w:rsidR="001007E7" w:rsidRPr="001007E7" w:rsidRDefault="001007E7" w:rsidP="001007E7">
      <w:pPr>
        <w:spacing w:after="240"/>
        <w:ind w:firstLine="720"/>
        <w:rPr>
          <w:rFonts w:eastAsia="Times New Roman"/>
          <w:sz w:val="24"/>
          <w:szCs w:val="24"/>
        </w:rPr>
      </w:pPr>
      <w:r w:rsidRPr="001007E7">
        <w:rPr>
          <w:rFonts w:eastAsia="Times New Roman"/>
          <w:sz w:val="24"/>
          <w:szCs w:val="24"/>
        </w:rPr>
        <w:t xml:space="preserve">4. Reversing summary judgment in favor of an insurer that proved its compliance with a Department of Insurance regulation that declares non-compliance a presumptive violation of section 10-3-1104(1)(h)(III) and (IV), the court held that compliance meant, at best, the absence of a presumptive statutory violation, not a right to judgment in favor of the insurer. </w:t>
      </w:r>
      <w:r w:rsidRPr="001007E7">
        <w:rPr>
          <w:rFonts w:eastAsia="Times New Roman"/>
          <w:b/>
          <w:sz w:val="24"/>
          <w:szCs w:val="24"/>
        </w:rPr>
        <w:t>Reyher v. State Farm Mut. Auto. Ins. Co.</w:t>
      </w:r>
      <w:r w:rsidRPr="001007E7">
        <w:rPr>
          <w:rFonts w:eastAsia="Times New Roman"/>
          <w:sz w:val="24"/>
          <w:szCs w:val="24"/>
        </w:rPr>
        <w:t>, 171 P.3d 1263 (Colo. App. 2007).</w:t>
      </w:r>
    </w:p>
    <w:p w14:paraId="7FDAF091" w14:textId="77777777" w:rsidR="001134B3" w:rsidRDefault="001134B3">
      <w:pPr>
        <w:rPr>
          <w:rFonts w:eastAsia="Times New Roman"/>
          <w:sz w:val="24"/>
          <w:szCs w:val="24"/>
        </w:rPr>
      </w:pPr>
      <w:r>
        <w:rPr>
          <w:rFonts w:eastAsia="Times New Roman"/>
          <w:sz w:val="24"/>
          <w:szCs w:val="24"/>
        </w:rPr>
        <w:br w:type="page"/>
      </w:r>
    </w:p>
    <w:p w14:paraId="0D4BE6FC" w14:textId="77777777" w:rsidR="001134B3" w:rsidRPr="009E3DA4" w:rsidRDefault="001134B3" w:rsidP="001134B3">
      <w:pPr>
        <w:spacing w:after="240"/>
        <w:ind w:left="720" w:hanging="720"/>
        <w:rPr>
          <w:rFonts w:eastAsia="Times New Roman"/>
          <w:b/>
          <w:sz w:val="24"/>
          <w:szCs w:val="24"/>
        </w:rPr>
      </w:pPr>
      <w:bookmarkStart w:id="7" w:name="a25_07"/>
      <w:bookmarkEnd w:id="7"/>
      <w:r w:rsidRPr="001134B3">
        <w:rPr>
          <w:rFonts w:eastAsia="Times New Roman"/>
          <w:b/>
          <w:sz w:val="24"/>
          <w:szCs w:val="24"/>
        </w:rPr>
        <w:lastRenderedPageBreak/>
        <w:t xml:space="preserve">25:7 </w:t>
      </w:r>
      <w:r w:rsidRPr="001134B3">
        <w:rPr>
          <w:rFonts w:eastAsia="Times New Roman"/>
          <w:b/>
          <w:sz w:val="24"/>
          <w:szCs w:val="24"/>
        </w:rPr>
        <w:tab/>
        <w:t>RECKLESS DISREGARD — DEFINED</w:t>
      </w:r>
    </w:p>
    <w:p w14:paraId="33E91236" w14:textId="77777777" w:rsidR="001134B3" w:rsidRPr="001134B3" w:rsidRDefault="001134B3" w:rsidP="001134B3">
      <w:pPr>
        <w:spacing w:after="240"/>
        <w:ind w:firstLine="720"/>
        <w:rPr>
          <w:rFonts w:eastAsia="Times New Roman"/>
          <w:b/>
          <w:sz w:val="24"/>
          <w:szCs w:val="24"/>
        </w:rPr>
      </w:pPr>
      <w:r w:rsidRPr="001134B3">
        <w:rPr>
          <w:rFonts w:eastAsia="Times New Roman"/>
          <w:b/>
          <w:sz w:val="24"/>
          <w:szCs w:val="24"/>
        </w:rPr>
        <w:t>An insurance company recklessly disregards the unreasonableness of its (conduct) (position) when it (acts) (takes a position) with knowledge of facts that indicate that its (conduct) (position) lacks a reasonable basis or when it is deliberately indifferent to information concerning the claim.</w:t>
      </w:r>
    </w:p>
    <w:p w14:paraId="0F6C7218" w14:textId="77777777" w:rsidR="001134B3" w:rsidRDefault="001134B3" w:rsidP="001134B3">
      <w:pPr>
        <w:jc w:val="center"/>
        <w:rPr>
          <w:rFonts w:eastAsia="Times New Roman"/>
          <w:sz w:val="24"/>
          <w:szCs w:val="24"/>
        </w:rPr>
      </w:pPr>
    </w:p>
    <w:p w14:paraId="4E61B957" w14:textId="77777777" w:rsidR="001134B3" w:rsidRPr="0054263B" w:rsidRDefault="001134B3" w:rsidP="001134B3">
      <w:pPr>
        <w:keepNext/>
        <w:spacing w:after="240"/>
        <w:jc w:val="center"/>
        <w:rPr>
          <w:rFonts w:eastAsia="Times New Roman"/>
          <w:b/>
          <w:sz w:val="24"/>
          <w:szCs w:val="24"/>
        </w:rPr>
      </w:pPr>
      <w:r w:rsidRPr="0054263B">
        <w:rPr>
          <w:rFonts w:eastAsia="Times New Roman"/>
          <w:b/>
          <w:sz w:val="24"/>
          <w:szCs w:val="24"/>
        </w:rPr>
        <w:t>Notes on Use</w:t>
      </w:r>
    </w:p>
    <w:p w14:paraId="16102868" w14:textId="77777777" w:rsidR="001134B3" w:rsidRPr="001134B3" w:rsidRDefault="001134B3" w:rsidP="001134B3">
      <w:pPr>
        <w:spacing w:after="240"/>
        <w:ind w:firstLine="720"/>
        <w:rPr>
          <w:rFonts w:eastAsia="Times New Roman"/>
          <w:sz w:val="24"/>
          <w:szCs w:val="24"/>
        </w:rPr>
      </w:pPr>
      <w:r w:rsidRPr="001134B3">
        <w:rPr>
          <w:rFonts w:eastAsia="Times New Roman"/>
          <w:sz w:val="24"/>
          <w:szCs w:val="24"/>
        </w:rPr>
        <w:t xml:space="preserve">1. This instruction relates only to common-law first-party claims and must be given with Instruction 25:2 but must not be given in relation to a statutory claim provided by sections 10-3-1115 and -1116, C.R.S. </w:t>
      </w:r>
      <w:r w:rsidRPr="001134B3">
        <w:rPr>
          <w:rFonts w:eastAsia="Times New Roman"/>
          <w:b/>
          <w:sz w:val="24"/>
          <w:szCs w:val="24"/>
        </w:rPr>
        <w:t>Vaccaro v. Am. Family Ins. Co.</w:t>
      </w:r>
      <w:r w:rsidRPr="001134B3">
        <w:rPr>
          <w:rFonts w:eastAsia="Times New Roman"/>
          <w:sz w:val="24"/>
          <w:szCs w:val="24"/>
        </w:rPr>
        <w:t xml:space="preserve">, 2012 COA 9M, ¶ 21, 275 P.3d 750 (citing </w:t>
      </w:r>
      <w:r w:rsidRPr="001134B3">
        <w:rPr>
          <w:rFonts w:eastAsia="Times New Roman"/>
          <w:b/>
          <w:sz w:val="24"/>
          <w:szCs w:val="24"/>
        </w:rPr>
        <w:t>Kisselman v. Am. Family Mut. Ins. Co.</w:t>
      </w:r>
      <w:r w:rsidRPr="001134B3">
        <w:rPr>
          <w:rFonts w:eastAsia="Times New Roman"/>
          <w:sz w:val="24"/>
          <w:szCs w:val="24"/>
        </w:rPr>
        <w:t>, 292 P.3d 964 (Colo. App. 2011)).</w:t>
      </w:r>
    </w:p>
    <w:p w14:paraId="04EAE38B" w14:textId="77777777" w:rsidR="001134B3" w:rsidRPr="001134B3" w:rsidRDefault="001134B3" w:rsidP="001134B3">
      <w:pPr>
        <w:spacing w:after="240"/>
        <w:ind w:firstLine="720"/>
        <w:rPr>
          <w:rFonts w:eastAsia="Times New Roman"/>
          <w:sz w:val="24"/>
          <w:szCs w:val="24"/>
        </w:rPr>
      </w:pPr>
      <w:r w:rsidRPr="001134B3">
        <w:rPr>
          <w:rFonts w:eastAsia="Times New Roman"/>
          <w:sz w:val="24"/>
          <w:szCs w:val="24"/>
        </w:rPr>
        <w:t>2. If appropriate, an alternative phrase to “insurance company” (e.g., “self-insurer,” “surety,” “person,” “independent insurance adjuster”) should be used to describe the defendant.</w:t>
      </w:r>
    </w:p>
    <w:p w14:paraId="42280318" w14:textId="77777777" w:rsidR="001134B3" w:rsidRPr="0054263B" w:rsidRDefault="001134B3" w:rsidP="001134B3">
      <w:pPr>
        <w:keepNext/>
        <w:spacing w:after="240"/>
        <w:jc w:val="center"/>
        <w:rPr>
          <w:rFonts w:eastAsia="Times New Roman"/>
          <w:b/>
          <w:sz w:val="24"/>
          <w:szCs w:val="24"/>
        </w:rPr>
      </w:pPr>
      <w:r>
        <w:rPr>
          <w:rFonts w:eastAsia="Times New Roman"/>
          <w:b/>
          <w:sz w:val="24"/>
          <w:szCs w:val="24"/>
        </w:rPr>
        <w:t>Source and Authority</w:t>
      </w:r>
    </w:p>
    <w:p w14:paraId="140B8105" w14:textId="77777777" w:rsidR="001134B3" w:rsidRPr="001134B3" w:rsidRDefault="001134B3" w:rsidP="001134B3">
      <w:pPr>
        <w:spacing w:after="240"/>
        <w:ind w:firstLine="720"/>
        <w:rPr>
          <w:rFonts w:eastAsia="Times New Roman"/>
          <w:sz w:val="24"/>
          <w:szCs w:val="24"/>
        </w:rPr>
      </w:pPr>
      <w:r w:rsidRPr="001134B3">
        <w:rPr>
          <w:rFonts w:eastAsia="Times New Roman"/>
          <w:sz w:val="24"/>
          <w:szCs w:val="24"/>
        </w:rPr>
        <w:t xml:space="preserve">This instruction is supported by </w:t>
      </w:r>
      <w:r w:rsidRPr="001134B3">
        <w:rPr>
          <w:rFonts w:eastAsia="Times New Roman"/>
          <w:b/>
          <w:sz w:val="24"/>
          <w:szCs w:val="24"/>
        </w:rPr>
        <w:t>Travelers Insurance Co. v. Savio</w:t>
      </w:r>
      <w:r w:rsidRPr="001134B3">
        <w:rPr>
          <w:rFonts w:eastAsia="Times New Roman"/>
          <w:sz w:val="24"/>
          <w:szCs w:val="24"/>
        </w:rPr>
        <w:t>, 706 P.2d 1258 (Colo. 1985), and section 10-3-1113(3), C.R.S.</w:t>
      </w:r>
    </w:p>
    <w:p w14:paraId="1861535E" w14:textId="77777777" w:rsidR="001134B3" w:rsidRDefault="001134B3">
      <w:pPr>
        <w:rPr>
          <w:rFonts w:eastAsia="Times New Roman"/>
          <w:sz w:val="24"/>
          <w:szCs w:val="24"/>
        </w:rPr>
      </w:pPr>
      <w:r>
        <w:rPr>
          <w:rFonts w:eastAsia="Times New Roman"/>
          <w:sz w:val="24"/>
          <w:szCs w:val="24"/>
        </w:rPr>
        <w:br w:type="page"/>
      </w:r>
    </w:p>
    <w:p w14:paraId="68C7F99D" w14:textId="77777777" w:rsidR="001134B3" w:rsidRPr="009E3DA4" w:rsidRDefault="001134B3" w:rsidP="001134B3">
      <w:pPr>
        <w:spacing w:after="240"/>
        <w:ind w:left="720" w:hanging="720"/>
        <w:rPr>
          <w:rFonts w:eastAsia="Times New Roman"/>
          <w:b/>
          <w:sz w:val="24"/>
          <w:szCs w:val="24"/>
        </w:rPr>
      </w:pPr>
      <w:bookmarkStart w:id="8" w:name="a25_08"/>
      <w:bookmarkEnd w:id="8"/>
      <w:r w:rsidRPr="001134B3">
        <w:rPr>
          <w:rFonts w:eastAsia="Times New Roman"/>
          <w:b/>
          <w:sz w:val="24"/>
          <w:szCs w:val="24"/>
        </w:rPr>
        <w:lastRenderedPageBreak/>
        <w:t xml:space="preserve">25:8 </w:t>
      </w:r>
      <w:r w:rsidRPr="001134B3">
        <w:rPr>
          <w:rFonts w:eastAsia="Times New Roman"/>
          <w:b/>
          <w:sz w:val="24"/>
          <w:szCs w:val="24"/>
        </w:rPr>
        <w:tab/>
        <w:t>DUTY OF GOOD FAITH AND FAIR DEALING</w:t>
      </w:r>
    </w:p>
    <w:p w14:paraId="5ABFEC47" w14:textId="77777777" w:rsidR="001134B3" w:rsidRPr="001134B3" w:rsidRDefault="001134B3" w:rsidP="001134B3">
      <w:pPr>
        <w:spacing w:after="240"/>
        <w:ind w:firstLine="720"/>
        <w:rPr>
          <w:rFonts w:eastAsia="Times New Roman"/>
          <w:b/>
          <w:sz w:val="24"/>
          <w:szCs w:val="24"/>
        </w:rPr>
      </w:pPr>
      <w:r w:rsidRPr="001134B3">
        <w:rPr>
          <w:rFonts w:eastAsia="Times New Roman"/>
          <w:b/>
          <w:sz w:val="24"/>
          <w:szCs w:val="24"/>
        </w:rPr>
        <w:t xml:space="preserve">An insurance company owes to those it insures the duty of good faith and fair dealing. That duty is breached if the company unreasonably (delays payment) (denies payment) (fails to communicate promptly and effectively) </w:t>
      </w:r>
      <w:r w:rsidRPr="001134B3">
        <w:rPr>
          <w:rFonts w:eastAsia="Times New Roman"/>
          <w:i/>
          <w:sz w:val="24"/>
          <w:szCs w:val="24"/>
        </w:rPr>
        <w:t>(insert description of other conduct or position that may constitute bad faith breach of insurance contract)</w:t>
      </w:r>
      <w:r w:rsidRPr="001134B3">
        <w:rPr>
          <w:rFonts w:eastAsia="Times New Roman"/>
          <w:b/>
          <w:sz w:val="24"/>
          <w:szCs w:val="24"/>
        </w:rPr>
        <w:t xml:space="preserve">(,) (.) (and the company knows that its [delay] [denial] </w:t>
      </w:r>
      <w:r w:rsidRPr="001134B3">
        <w:rPr>
          <w:rFonts w:eastAsia="Times New Roman"/>
          <w:i/>
          <w:sz w:val="24"/>
          <w:szCs w:val="24"/>
        </w:rPr>
        <w:t>[insert description of other conduct or position that may constitute bad faith breach of insurance contract]</w:t>
      </w:r>
      <w:r w:rsidRPr="001134B3">
        <w:rPr>
          <w:rFonts w:eastAsia="Times New Roman"/>
          <w:b/>
          <w:sz w:val="24"/>
          <w:szCs w:val="24"/>
        </w:rPr>
        <w:t xml:space="preserve"> is unreasonable or it recklessly disregards whether its [conduct] [position] is unreasonable).</w:t>
      </w:r>
    </w:p>
    <w:p w14:paraId="0FD83D62" w14:textId="77777777" w:rsidR="001134B3" w:rsidRDefault="001134B3" w:rsidP="001134B3">
      <w:pPr>
        <w:jc w:val="center"/>
        <w:rPr>
          <w:rFonts w:eastAsia="Times New Roman"/>
          <w:sz w:val="24"/>
          <w:szCs w:val="24"/>
        </w:rPr>
      </w:pPr>
    </w:p>
    <w:p w14:paraId="75B7870E" w14:textId="77777777" w:rsidR="001134B3" w:rsidRPr="0054263B" w:rsidRDefault="001134B3" w:rsidP="001134B3">
      <w:pPr>
        <w:keepNext/>
        <w:spacing w:after="240"/>
        <w:jc w:val="center"/>
        <w:rPr>
          <w:rFonts w:eastAsia="Times New Roman"/>
          <w:b/>
          <w:sz w:val="24"/>
          <w:szCs w:val="24"/>
        </w:rPr>
      </w:pPr>
      <w:r w:rsidRPr="0054263B">
        <w:rPr>
          <w:rFonts w:eastAsia="Times New Roman"/>
          <w:b/>
          <w:sz w:val="24"/>
          <w:szCs w:val="24"/>
        </w:rPr>
        <w:t>Notes on Use</w:t>
      </w:r>
    </w:p>
    <w:p w14:paraId="1CC5159B" w14:textId="7E12036F" w:rsidR="001134B3" w:rsidRPr="001134B3" w:rsidRDefault="001134B3" w:rsidP="001134B3">
      <w:pPr>
        <w:spacing w:after="240"/>
        <w:ind w:firstLine="720"/>
        <w:rPr>
          <w:rFonts w:eastAsia="Times New Roman"/>
          <w:sz w:val="24"/>
          <w:szCs w:val="24"/>
        </w:rPr>
      </w:pPr>
      <w:r w:rsidRPr="001134B3">
        <w:rPr>
          <w:rFonts w:eastAsia="Times New Roman"/>
          <w:sz w:val="24"/>
          <w:szCs w:val="24"/>
        </w:rPr>
        <w:t xml:space="preserve">1. This instruction should be given with Instruction 25:1 or 25:2. </w:t>
      </w:r>
      <w:r w:rsidRPr="001134B3">
        <w:rPr>
          <w:rFonts w:eastAsia="Times New Roman"/>
          <w:i/>
          <w:sz w:val="24"/>
          <w:szCs w:val="24"/>
        </w:rPr>
        <w:t xml:space="preserve">See </w:t>
      </w:r>
      <w:r w:rsidRPr="001134B3">
        <w:rPr>
          <w:rFonts w:eastAsia="Times New Roman"/>
          <w:b/>
          <w:sz w:val="24"/>
          <w:szCs w:val="24"/>
        </w:rPr>
        <w:t>Miller v. Byrne</w:t>
      </w:r>
      <w:r w:rsidRPr="001134B3">
        <w:rPr>
          <w:rFonts w:eastAsia="Times New Roman"/>
          <w:sz w:val="24"/>
          <w:szCs w:val="24"/>
        </w:rPr>
        <w:t xml:space="preserve">, 916 P.2d 566 (Colo. App. 1995) (failure to define standard of care in terms of reasonableness was reversible error). </w:t>
      </w:r>
    </w:p>
    <w:p w14:paraId="4FDA95FA" w14:textId="77777777" w:rsidR="001134B3" w:rsidRPr="001134B3" w:rsidRDefault="001134B3" w:rsidP="001134B3">
      <w:pPr>
        <w:spacing w:after="240"/>
        <w:ind w:firstLine="720"/>
        <w:rPr>
          <w:rFonts w:eastAsia="Times New Roman"/>
          <w:sz w:val="24"/>
          <w:szCs w:val="24"/>
        </w:rPr>
      </w:pPr>
      <w:r w:rsidRPr="001134B3">
        <w:rPr>
          <w:rFonts w:eastAsia="Times New Roman"/>
          <w:sz w:val="24"/>
          <w:szCs w:val="24"/>
        </w:rPr>
        <w:t>2. For the definition of “reckless disregard,” see Instruction 25:7.</w:t>
      </w:r>
    </w:p>
    <w:p w14:paraId="0FB87A48" w14:textId="77777777" w:rsidR="001134B3" w:rsidRPr="001134B3" w:rsidRDefault="001134B3" w:rsidP="001134B3">
      <w:pPr>
        <w:spacing w:after="240"/>
        <w:ind w:firstLine="720"/>
        <w:rPr>
          <w:rFonts w:eastAsia="Times New Roman"/>
          <w:sz w:val="24"/>
          <w:szCs w:val="24"/>
        </w:rPr>
      </w:pPr>
      <w:r w:rsidRPr="001134B3">
        <w:rPr>
          <w:rFonts w:eastAsia="Times New Roman"/>
          <w:sz w:val="24"/>
          <w:szCs w:val="24"/>
        </w:rPr>
        <w:t>3. When appropriate, an alternative phrase to “insurance company” (e.g</w:t>
      </w:r>
      <w:r w:rsidRPr="001134B3">
        <w:rPr>
          <w:rFonts w:eastAsia="Times New Roman"/>
          <w:i/>
          <w:sz w:val="24"/>
          <w:szCs w:val="24"/>
        </w:rPr>
        <w:t>.</w:t>
      </w:r>
      <w:r w:rsidRPr="001134B3">
        <w:rPr>
          <w:rFonts w:eastAsia="Times New Roman"/>
          <w:sz w:val="24"/>
          <w:szCs w:val="24"/>
        </w:rPr>
        <w:t>, “self-insurer,” “surety,” “person,” “independent insurance adjuster”) should be used to describe the defendant.</w:t>
      </w:r>
    </w:p>
    <w:p w14:paraId="3337C332" w14:textId="77777777" w:rsidR="001134B3" w:rsidRPr="001134B3" w:rsidRDefault="001134B3" w:rsidP="001134B3">
      <w:pPr>
        <w:spacing w:after="240"/>
        <w:ind w:firstLine="720"/>
        <w:rPr>
          <w:rFonts w:eastAsia="Times New Roman"/>
          <w:sz w:val="24"/>
          <w:szCs w:val="24"/>
        </w:rPr>
      </w:pPr>
      <w:r w:rsidRPr="001134B3">
        <w:rPr>
          <w:rFonts w:eastAsia="Times New Roman"/>
          <w:sz w:val="24"/>
          <w:szCs w:val="24"/>
        </w:rPr>
        <w:t xml:space="preserve">4. The last parenthesized clause of this instruction must be included when this instruction is given in a common-law first-party case with Instruction 25:2 but must be omitted when this instruction is given in a common-law third-party case with Instruction 25:1. </w:t>
      </w:r>
      <w:r w:rsidRPr="001134B3">
        <w:rPr>
          <w:rFonts w:eastAsia="Times New Roman"/>
          <w:i/>
          <w:sz w:val="24"/>
          <w:szCs w:val="24"/>
        </w:rPr>
        <w:t>See</w:t>
      </w:r>
      <w:r w:rsidRPr="001134B3">
        <w:rPr>
          <w:rFonts w:eastAsia="Times New Roman"/>
          <w:sz w:val="24"/>
          <w:szCs w:val="24"/>
        </w:rPr>
        <w:t xml:space="preserve"> § 10-3-1113(1)–(3), C.R.S.</w:t>
      </w:r>
    </w:p>
    <w:p w14:paraId="7D4820FD" w14:textId="77777777" w:rsidR="001134B3" w:rsidRPr="001134B3" w:rsidRDefault="001134B3" w:rsidP="001134B3">
      <w:pPr>
        <w:spacing w:after="240"/>
        <w:ind w:firstLine="720"/>
        <w:rPr>
          <w:rFonts w:eastAsia="Times New Roman"/>
          <w:sz w:val="24"/>
          <w:szCs w:val="24"/>
        </w:rPr>
      </w:pPr>
      <w:r w:rsidRPr="001134B3">
        <w:rPr>
          <w:rFonts w:eastAsia="Times New Roman"/>
          <w:sz w:val="24"/>
          <w:szCs w:val="24"/>
        </w:rPr>
        <w:t xml:space="preserve">5. The last parenthesized clause must also be omitted in a statutory first-party claim based on section 10-3-1116(1), C.R.S. </w:t>
      </w:r>
      <w:r w:rsidRPr="001134B3">
        <w:rPr>
          <w:rFonts w:eastAsia="Times New Roman"/>
          <w:b/>
          <w:sz w:val="24"/>
          <w:szCs w:val="24"/>
        </w:rPr>
        <w:t>Kisselman v. Am. Family Mut. Ins. Co.</w:t>
      </w:r>
      <w:r w:rsidRPr="001134B3">
        <w:rPr>
          <w:rFonts w:eastAsia="Times New Roman"/>
          <w:sz w:val="24"/>
          <w:szCs w:val="24"/>
        </w:rPr>
        <w:t>, 292 P.3d 964, 973 (Colo. App. 2011) (The statutory claim “expressly deletes [this] requirement.”).</w:t>
      </w:r>
    </w:p>
    <w:p w14:paraId="53268338" w14:textId="77777777" w:rsidR="001134B3" w:rsidRPr="0054263B" w:rsidRDefault="001134B3" w:rsidP="001134B3">
      <w:pPr>
        <w:keepNext/>
        <w:spacing w:after="240"/>
        <w:jc w:val="center"/>
        <w:rPr>
          <w:rFonts w:eastAsia="Times New Roman"/>
          <w:b/>
          <w:sz w:val="24"/>
          <w:szCs w:val="24"/>
        </w:rPr>
      </w:pPr>
      <w:r>
        <w:rPr>
          <w:rFonts w:eastAsia="Times New Roman"/>
          <w:b/>
          <w:sz w:val="24"/>
          <w:szCs w:val="24"/>
        </w:rPr>
        <w:t>Source and Authority</w:t>
      </w:r>
    </w:p>
    <w:p w14:paraId="0784D82F" w14:textId="77777777" w:rsidR="001134B3" w:rsidRPr="001134B3" w:rsidRDefault="001134B3" w:rsidP="001134B3">
      <w:pPr>
        <w:spacing w:after="240"/>
        <w:ind w:firstLine="720"/>
        <w:rPr>
          <w:rFonts w:eastAsia="Times New Roman"/>
          <w:sz w:val="24"/>
          <w:szCs w:val="24"/>
        </w:rPr>
      </w:pPr>
      <w:r w:rsidRPr="001134B3">
        <w:rPr>
          <w:rFonts w:eastAsia="Times New Roman"/>
          <w:sz w:val="24"/>
          <w:szCs w:val="24"/>
        </w:rPr>
        <w:t xml:space="preserve">1. This instruction is supported by </w:t>
      </w:r>
      <w:r w:rsidRPr="001134B3">
        <w:rPr>
          <w:rFonts w:eastAsia="Times New Roman"/>
          <w:b/>
          <w:sz w:val="24"/>
          <w:szCs w:val="24"/>
        </w:rPr>
        <w:t>Travelers Ins. Co. v. Savio</w:t>
      </w:r>
      <w:r w:rsidRPr="001134B3">
        <w:rPr>
          <w:rFonts w:eastAsia="Times New Roman"/>
          <w:sz w:val="24"/>
          <w:szCs w:val="24"/>
        </w:rPr>
        <w:t>, 706 P.2d 1258 (Colo. 1985);</w:t>
      </w:r>
      <w:r w:rsidRPr="001134B3">
        <w:rPr>
          <w:rFonts w:eastAsia="Times New Roman"/>
          <w:b/>
          <w:sz w:val="24"/>
          <w:szCs w:val="24"/>
        </w:rPr>
        <w:t xml:space="preserve"> Farmers Group, Inc. v. Trimble</w:t>
      </w:r>
      <w:r w:rsidRPr="001134B3">
        <w:rPr>
          <w:rFonts w:eastAsia="Times New Roman"/>
          <w:sz w:val="24"/>
          <w:szCs w:val="24"/>
        </w:rPr>
        <w:t xml:space="preserve">, 691 P.2d 1138 (Colo. 1984); and section 10-3-1113(2) &amp; (3). </w:t>
      </w:r>
      <w:r w:rsidRPr="001134B3">
        <w:rPr>
          <w:rFonts w:eastAsia="Times New Roman"/>
          <w:i/>
          <w:sz w:val="24"/>
          <w:szCs w:val="24"/>
        </w:rPr>
        <w:t>See also</w:t>
      </w:r>
      <w:r w:rsidRPr="001134B3">
        <w:rPr>
          <w:rFonts w:eastAsia="Times New Roman"/>
          <w:sz w:val="24"/>
          <w:szCs w:val="24"/>
        </w:rPr>
        <w:t xml:space="preserve"> Source and Authority to Instructions 25:1 and 25:2. </w:t>
      </w:r>
    </w:p>
    <w:p w14:paraId="0E663894" w14:textId="77777777" w:rsidR="001134B3" w:rsidRPr="001134B3" w:rsidRDefault="001134B3" w:rsidP="001134B3">
      <w:pPr>
        <w:spacing w:after="240"/>
        <w:ind w:firstLine="720"/>
        <w:rPr>
          <w:rFonts w:eastAsia="Times New Roman"/>
          <w:sz w:val="24"/>
          <w:szCs w:val="24"/>
        </w:rPr>
      </w:pPr>
      <w:r w:rsidRPr="001134B3">
        <w:rPr>
          <w:rFonts w:eastAsia="Times New Roman"/>
          <w:sz w:val="24"/>
          <w:szCs w:val="24"/>
        </w:rPr>
        <w:t xml:space="preserve">2. An insurer’s duties of good faith and fair dealing arise from the special nature of insurance (to provide financial and emotional security against calamity) and the special relationship between insurer (superior in economic power and having control over decision to provide benefits) and insured. </w:t>
      </w:r>
      <w:r w:rsidRPr="001134B3">
        <w:rPr>
          <w:rFonts w:eastAsia="Times New Roman"/>
          <w:b/>
          <w:sz w:val="24"/>
          <w:szCs w:val="24"/>
        </w:rPr>
        <w:t>State Farm Mut. Auto. Ins. Co. v. Brekke</w:t>
      </w:r>
      <w:r w:rsidRPr="001134B3">
        <w:rPr>
          <w:rFonts w:eastAsia="Times New Roman"/>
          <w:sz w:val="24"/>
          <w:szCs w:val="24"/>
        </w:rPr>
        <w:t xml:space="preserve">, 105 P.3d 177 (Colo. 2004); </w:t>
      </w:r>
      <w:r w:rsidRPr="001134B3">
        <w:rPr>
          <w:rFonts w:eastAsia="Times New Roman"/>
          <w:b/>
          <w:sz w:val="24"/>
          <w:szCs w:val="24"/>
        </w:rPr>
        <w:t>Transamerica Premier Ins. Co. v. Brighton Sch. Dist. 27J</w:t>
      </w:r>
      <w:r w:rsidRPr="001134B3">
        <w:rPr>
          <w:rFonts w:eastAsia="Times New Roman"/>
          <w:sz w:val="24"/>
          <w:szCs w:val="24"/>
        </w:rPr>
        <w:t xml:space="preserve">, 940 P.2d 348 (Colo. 1997); </w:t>
      </w:r>
      <w:r w:rsidRPr="001134B3">
        <w:rPr>
          <w:rFonts w:eastAsia="Times New Roman"/>
          <w:b/>
          <w:sz w:val="24"/>
          <w:szCs w:val="24"/>
        </w:rPr>
        <w:t>Scott Wetzel Servs., Inc. v. Johnson</w:t>
      </w:r>
      <w:r w:rsidRPr="001134B3">
        <w:rPr>
          <w:rFonts w:eastAsia="Times New Roman"/>
          <w:sz w:val="24"/>
          <w:szCs w:val="24"/>
        </w:rPr>
        <w:t>, 821 P.2d 804 (Colo. 1991).</w:t>
      </w:r>
    </w:p>
    <w:p w14:paraId="02952D68" w14:textId="77777777" w:rsidR="001134B3" w:rsidRPr="001134B3" w:rsidRDefault="001134B3" w:rsidP="001134B3">
      <w:pPr>
        <w:spacing w:after="240"/>
        <w:ind w:firstLine="720"/>
        <w:rPr>
          <w:rFonts w:eastAsia="Times New Roman"/>
          <w:sz w:val="24"/>
          <w:szCs w:val="24"/>
        </w:rPr>
      </w:pPr>
      <w:r w:rsidRPr="001134B3">
        <w:rPr>
          <w:rFonts w:eastAsia="Times New Roman"/>
          <w:sz w:val="24"/>
          <w:szCs w:val="24"/>
        </w:rPr>
        <w:t>3. Whether an insurer has breached its duties of good faith and fair dealing presents a question of “reasonableness under the circumstances.”</w:t>
      </w:r>
      <w:r w:rsidRPr="001134B3">
        <w:rPr>
          <w:rFonts w:eastAsia="Times New Roman"/>
          <w:b/>
          <w:sz w:val="24"/>
          <w:szCs w:val="24"/>
        </w:rPr>
        <w:t xml:space="preserve"> Trimble</w:t>
      </w:r>
      <w:r w:rsidRPr="001134B3">
        <w:rPr>
          <w:rFonts w:eastAsia="Times New Roman"/>
          <w:sz w:val="24"/>
          <w:szCs w:val="24"/>
        </w:rPr>
        <w:t>, 691 P.2d at 1142.</w:t>
      </w:r>
    </w:p>
    <w:p w14:paraId="2FFBA5A1" w14:textId="77777777" w:rsidR="001134B3" w:rsidRPr="001134B3" w:rsidRDefault="001134B3" w:rsidP="001134B3">
      <w:pPr>
        <w:spacing w:after="240"/>
        <w:ind w:firstLine="720"/>
        <w:rPr>
          <w:rFonts w:eastAsia="Times New Roman"/>
          <w:sz w:val="24"/>
          <w:szCs w:val="24"/>
        </w:rPr>
      </w:pPr>
      <w:r w:rsidRPr="001134B3">
        <w:rPr>
          <w:rFonts w:eastAsia="Times New Roman"/>
          <w:sz w:val="24"/>
          <w:szCs w:val="24"/>
        </w:rPr>
        <w:lastRenderedPageBreak/>
        <w:t xml:space="preserve">4. The term bad faith breach of insurance contract is a misnomer insofar as it may suggest a requirement to prove bad motive or evil intent on the part of the insurer. In light of the nature of insurance and the special relationship between insurer and insured, insurers in the third-party context owe their insureds duties that are “quasi-fiduciary” in nature. </w:t>
      </w:r>
      <w:r w:rsidRPr="001134B3">
        <w:rPr>
          <w:rFonts w:eastAsia="Times New Roman"/>
          <w:b/>
          <w:sz w:val="24"/>
          <w:szCs w:val="24"/>
        </w:rPr>
        <w:t>Brodeur v. Am. Home Assur. Co.</w:t>
      </w:r>
      <w:r w:rsidRPr="001134B3">
        <w:rPr>
          <w:rFonts w:eastAsia="Times New Roman"/>
          <w:sz w:val="24"/>
          <w:szCs w:val="24"/>
        </w:rPr>
        <w:t xml:space="preserve">, 169 P.3d 139 (Colo. 2007) (citing </w:t>
      </w:r>
      <w:r w:rsidRPr="001134B3">
        <w:rPr>
          <w:rFonts w:eastAsia="Times New Roman"/>
          <w:b/>
          <w:sz w:val="24"/>
          <w:szCs w:val="24"/>
        </w:rPr>
        <w:t>Trimble</w:t>
      </w:r>
      <w:r w:rsidRPr="001134B3">
        <w:rPr>
          <w:rFonts w:eastAsia="Times New Roman"/>
          <w:sz w:val="24"/>
          <w:szCs w:val="24"/>
        </w:rPr>
        <w:t>,</w:t>
      </w:r>
      <w:r w:rsidRPr="001134B3">
        <w:rPr>
          <w:rFonts w:eastAsia="Times New Roman"/>
          <w:b/>
          <w:sz w:val="24"/>
          <w:szCs w:val="24"/>
        </w:rPr>
        <w:t xml:space="preserve"> </w:t>
      </w:r>
      <w:r w:rsidRPr="001134B3">
        <w:rPr>
          <w:rFonts w:eastAsia="Times New Roman"/>
          <w:sz w:val="24"/>
          <w:szCs w:val="24"/>
        </w:rPr>
        <w:t xml:space="preserve">691 P.2d at 1141) (quasi-fiduciary duty owed to insureds in third-party context because insurer has absolute right control defense of insured); </w:t>
      </w:r>
      <w:r w:rsidRPr="001134B3">
        <w:rPr>
          <w:rFonts w:eastAsia="Times New Roman"/>
          <w:b/>
          <w:sz w:val="24"/>
          <w:szCs w:val="24"/>
        </w:rPr>
        <w:t>Goodson v. Am. Std. Ins. Co.</w:t>
      </w:r>
      <w:r w:rsidRPr="001134B3">
        <w:rPr>
          <w:rFonts w:eastAsia="Times New Roman"/>
          <w:sz w:val="24"/>
          <w:szCs w:val="24"/>
        </w:rPr>
        <w:t>,</w:t>
      </w:r>
      <w:r w:rsidRPr="001134B3">
        <w:rPr>
          <w:rFonts w:eastAsia="Times New Roman"/>
          <w:b/>
          <w:sz w:val="24"/>
          <w:szCs w:val="24"/>
        </w:rPr>
        <w:t xml:space="preserve"> </w:t>
      </w:r>
      <w:r w:rsidRPr="001134B3">
        <w:rPr>
          <w:rFonts w:eastAsia="Times New Roman"/>
          <w:sz w:val="24"/>
          <w:szCs w:val="24"/>
        </w:rPr>
        <w:t xml:space="preserve">89 P.3d 409 (Colo. 2004) (quasi-fiduciary relationship exists between insurer and insured in third-party context because insurer stands in position of trust with regard to its insured); </w:t>
      </w:r>
      <w:r w:rsidRPr="001134B3">
        <w:rPr>
          <w:rFonts w:eastAsia="Times New Roman"/>
          <w:b/>
          <w:sz w:val="24"/>
          <w:szCs w:val="24"/>
        </w:rPr>
        <w:t>Bankr. Estate of Morris v. COPIC Ins. Co.</w:t>
      </w:r>
      <w:r w:rsidRPr="001134B3">
        <w:rPr>
          <w:rFonts w:eastAsia="Times New Roman"/>
          <w:sz w:val="24"/>
          <w:szCs w:val="24"/>
        </w:rPr>
        <w:t xml:space="preserve">, 192 P.3d 519 (Colo. App. 2008) (citing </w:t>
      </w:r>
      <w:r w:rsidRPr="001134B3">
        <w:rPr>
          <w:rFonts w:eastAsia="Times New Roman"/>
          <w:b/>
          <w:sz w:val="24"/>
          <w:szCs w:val="24"/>
        </w:rPr>
        <w:t>Trimble</w:t>
      </w:r>
      <w:r w:rsidRPr="001134B3">
        <w:rPr>
          <w:rFonts w:eastAsia="Times New Roman"/>
          <w:sz w:val="24"/>
          <w:szCs w:val="24"/>
        </w:rPr>
        <w:t>,</w:t>
      </w:r>
      <w:r w:rsidRPr="001134B3">
        <w:rPr>
          <w:rFonts w:eastAsia="Times New Roman"/>
          <w:b/>
          <w:sz w:val="24"/>
          <w:szCs w:val="24"/>
        </w:rPr>
        <w:t xml:space="preserve"> </w:t>
      </w:r>
      <w:r w:rsidRPr="001134B3">
        <w:rPr>
          <w:rFonts w:eastAsia="Times New Roman"/>
          <w:sz w:val="24"/>
          <w:szCs w:val="24"/>
        </w:rPr>
        <w:t>691 P.2d at 1141-42,</w:t>
      </w:r>
      <w:r w:rsidRPr="001134B3">
        <w:rPr>
          <w:rFonts w:eastAsia="Times New Roman"/>
          <w:b/>
          <w:sz w:val="24"/>
          <w:szCs w:val="24"/>
        </w:rPr>
        <w:t xml:space="preserve"> </w:t>
      </w:r>
      <w:r w:rsidRPr="001134B3">
        <w:rPr>
          <w:rFonts w:eastAsia="Times New Roman"/>
          <w:sz w:val="24"/>
          <w:szCs w:val="24"/>
        </w:rPr>
        <w:t xml:space="preserve">in discussing insurer’s duties to insured in third-party context); </w:t>
      </w:r>
      <w:r w:rsidRPr="001134B3">
        <w:rPr>
          <w:rFonts w:eastAsia="Times New Roman"/>
          <w:b/>
          <w:sz w:val="24"/>
          <w:szCs w:val="24"/>
        </w:rPr>
        <w:t>Olson v. State Farm Mut. Auto. Ins. Co.</w:t>
      </w:r>
      <w:r w:rsidRPr="001134B3">
        <w:rPr>
          <w:rFonts w:eastAsia="Times New Roman"/>
          <w:i/>
          <w:sz w:val="24"/>
          <w:szCs w:val="24"/>
        </w:rPr>
        <w:t xml:space="preserve">, </w:t>
      </w:r>
      <w:r w:rsidRPr="001134B3">
        <w:rPr>
          <w:rFonts w:eastAsia="Times New Roman"/>
          <w:sz w:val="24"/>
          <w:szCs w:val="24"/>
        </w:rPr>
        <w:t xml:space="preserve">174 P.3d 849 (Colo. App. 2007) (citing </w:t>
      </w:r>
      <w:r w:rsidRPr="001134B3">
        <w:rPr>
          <w:rFonts w:eastAsia="Times New Roman"/>
          <w:b/>
          <w:sz w:val="24"/>
          <w:szCs w:val="24"/>
        </w:rPr>
        <w:t>Brodeur</w:t>
      </w:r>
      <w:r w:rsidRPr="001134B3">
        <w:rPr>
          <w:rFonts w:eastAsia="Times New Roman"/>
          <w:sz w:val="24"/>
          <w:szCs w:val="24"/>
        </w:rPr>
        <w:t xml:space="preserve"> and </w:t>
      </w:r>
      <w:r w:rsidRPr="001134B3">
        <w:rPr>
          <w:rFonts w:eastAsia="Times New Roman"/>
          <w:b/>
          <w:sz w:val="24"/>
          <w:szCs w:val="24"/>
        </w:rPr>
        <w:t>Goodson</w:t>
      </w:r>
      <w:r w:rsidRPr="001134B3">
        <w:rPr>
          <w:rFonts w:eastAsia="Times New Roman"/>
          <w:sz w:val="24"/>
          <w:szCs w:val="24"/>
        </w:rPr>
        <w:t xml:space="preserve">, and rejecting argument that quasi-fiduciary duty required insurer to inform insured in first-party context about when statute of limitations would expire). </w:t>
      </w:r>
    </w:p>
    <w:p w14:paraId="640DE9D4" w14:textId="77777777" w:rsidR="001134B3" w:rsidRPr="001134B3" w:rsidRDefault="001134B3" w:rsidP="001134B3">
      <w:pPr>
        <w:spacing w:after="240"/>
        <w:ind w:firstLine="720"/>
        <w:rPr>
          <w:rFonts w:eastAsia="Times New Roman"/>
          <w:sz w:val="24"/>
          <w:szCs w:val="24"/>
        </w:rPr>
      </w:pPr>
      <w:r w:rsidRPr="001134B3">
        <w:rPr>
          <w:rFonts w:eastAsia="Times New Roman"/>
          <w:sz w:val="24"/>
          <w:szCs w:val="24"/>
        </w:rPr>
        <w:t xml:space="preserve">5. The quasi-fiduciary relationship is limited to “areas in which the insurer exercises a strong degree of control over the insured’s interests.” </w:t>
      </w:r>
      <w:r w:rsidRPr="001134B3">
        <w:rPr>
          <w:rFonts w:eastAsia="Times New Roman"/>
          <w:b/>
          <w:sz w:val="24"/>
          <w:szCs w:val="24"/>
        </w:rPr>
        <w:t>Bernhard v. Farmers Ins. Exch.</w:t>
      </w:r>
      <w:r w:rsidRPr="001134B3">
        <w:rPr>
          <w:rFonts w:eastAsia="Times New Roman"/>
          <w:sz w:val="24"/>
          <w:szCs w:val="24"/>
        </w:rPr>
        <w:t xml:space="preserve">, 915 P.2d 1285, 1289 (Colo. 1996) (discussing difference between quasi-fiduciary and true fiduciary duties); </w:t>
      </w:r>
      <w:r w:rsidRPr="001134B3">
        <w:rPr>
          <w:rFonts w:eastAsia="Times New Roman"/>
          <w:i/>
          <w:sz w:val="24"/>
          <w:szCs w:val="24"/>
        </w:rPr>
        <w:t>see also</w:t>
      </w:r>
      <w:r w:rsidRPr="001134B3">
        <w:rPr>
          <w:rFonts w:eastAsia="Times New Roman"/>
          <w:sz w:val="24"/>
          <w:szCs w:val="24"/>
        </w:rPr>
        <w:t xml:space="preserve"> </w:t>
      </w:r>
      <w:r w:rsidRPr="001134B3">
        <w:rPr>
          <w:rFonts w:eastAsia="Times New Roman"/>
          <w:b/>
          <w:sz w:val="24"/>
          <w:szCs w:val="24"/>
        </w:rPr>
        <w:t>Brodeur</w:t>
      </w:r>
      <w:r w:rsidRPr="001134B3">
        <w:rPr>
          <w:rFonts w:eastAsia="Times New Roman"/>
          <w:sz w:val="24"/>
          <w:szCs w:val="24"/>
        </w:rPr>
        <w:t xml:space="preserve">, 169 P.3d at 152 (holding that the relationship between the insured and the workers’ compensation insurer is neither a fiduciary nor a quasi-fiduciary relationship). </w:t>
      </w:r>
      <w:r w:rsidRPr="001134B3">
        <w:rPr>
          <w:rFonts w:eastAsia="Times New Roman"/>
          <w:i/>
          <w:sz w:val="24"/>
          <w:szCs w:val="24"/>
        </w:rPr>
        <w:t>But see</w:t>
      </w:r>
      <w:r w:rsidRPr="001134B3">
        <w:rPr>
          <w:rFonts w:eastAsia="Times New Roman"/>
          <w:sz w:val="24"/>
          <w:szCs w:val="24"/>
        </w:rPr>
        <w:t xml:space="preserve"> </w:t>
      </w:r>
      <w:r w:rsidRPr="001134B3">
        <w:rPr>
          <w:rFonts w:eastAsia="Times New Roman"/>
          <w:b/>
          <w:sz w:val="24"/>
          <w:szCs w:val="24"/>
        </w:rPr>
        <w:t>Brekke</w:t>
      </w:r>
      <w:r w:rsidRPr="001134B3">
        <w:rPr>
          <w:rFonts w:eastAsia="Times New Roman"/>
          <w:sz w:val="24"/>
          <w:szCs w:val="24"/>
        </w:rPr>
        <w:t xml:space="preserve">, 105 P.3d at 189 (aspect of quasi-fiduciary relationship that is significant in uninsured motorist context is insurer’s duty to investigate and adjust in good faith); </w:t>
      </w:r>
      <w:r w:rsidRPr="001134B3">
        <w:rPr>
          <w:rFonts w:eastAsia="Times New Roman"/>
          <w:b/>
          <w:sz w:val="24"/>
          <w:szCs w:val="24"/>
        </w:rPr>
        <w:t>Peterman v. State Farm Mut. Auto. Ins. Co.</w:t>
      </w:r>
      <w:r w:rsidRPr="001134B3">
        <w:rPr>
          <w:rFonts w:eastAsia="Times New Roman"/>
          <w:sz w:val="24"/>
          <w:szCs w:val="24"/>
        </w:rPr>
        <w:t xml:space="preserve">, 961 P.2d 487 (Colo. 1998) (even though insurer almost adversary to insured in uninsured motorist context, insurer still owes contractual and quasi-fiduciary duties to insured). Neither </w:t>
      </w:r>
      <w:r w:rsidRPr="001134B3">
        <w:rPr>
          <w:rFonts w:eastAsia="Times New Roman"/>
          <w:b/>
          <w:sz w:val="24"/>
          <w:szCs w:val="24"/>
        </w:rPr>
        <w:t>Brekke</w:t>
      </w:r>
      <w:r w:rsidRPr="001134B3">
        <w:rPr>
          <w:rFonts w:eastAsia="Times New Roman"/>
          <w:sz w:val="24"/>
          <w:szCs w:val="24"/>
        </w:rPr>
        <w:t xml:space="preserve"> nor </w:t>
      </w:r>
      <w:r w:rsidRPr="001134B3">
        <w:rPr>
          <w:rFonts w:eastAsia="Times New Roman"/>
          <w:b/>
          <w:sz w:val="24"/>
          <w:szCs w:val="24"/>
        </w:rPr>
        <w:t>Peterman</w:t>
      </w:r>
      <w:r w:rsidRPr="001134B3">
        <w:rPr>
          <w:rFonts w:eastAsia="Times New Roman"/>
          <w:sz w:val="24"/>
          <w:szCs w:val="24"/>
        </w:rPr>
        <w:t xml:space="preserve"> has been expressly overruled.</w:t>
      </w:r>
    </w:p>
    <w:p w14:paraId="04D060C8" w14:textId="77777777" w:rsidR="001134B3" w:rsidRPr="001134B3" w:rsidRDefault="001134B3" w:rsidP="001134B3">
      <w:pPr>
        <w:spacing w:after="240"/>
        <w:ind w:firstLine="720"/>
        <w:rPr>
          <w:rFonts w:eastAsia="Times New Roman"/>
          <w:sz w:val="24"/>
          <w:szCs w:val="24"/>
        </w:rPr>
      </w:pPr>
      <w:r w:rsidRPr="001134B3">
        <w:rPr>
          <w:rFonts w:eastAsia="Times New Roman"/>
          <w:sz w:val="24"/>
          <w:szCs w:val="24"/>
        </w:rPr>
        <w:t xml:space="preserve">6. The insurer’s duty to act in good faith is not limited to the failure to provide policy benefits, but permeates the entire relationship between the insurer and insured. </w:t>
      </w:r>
      <w:r w:rsidRPr="001134B3">
        <w:rPr>
          <w:rFonts w:eastAsia="Times New Roman"/>
          <w:b/>
          <w:sz w:val="24"/>
          <w:szCs w:val="24"/>
        </w:rPr>
        <w:t>Ballow v. PHICO Ins. Co.</w:t>
      </w:r>
      <w:r w:rsidRPr="001134B3">
        <w:rPr>
          <w:rFonts w:eastAsia="Times New Roman"/>
          <w:sz w:val="24"/>
          <w:szCs w:val="24"/>
        </w:rPr>
        <w:t>,</w:t>
      </w:r>
      <w:r w:rsidRPr="001134B3">
        <w:rPr>
          <w:rFonts w:eastAsia="Times New Roman"/>
          <w:b/>
          <w:sz w:val="24"/>
          <w:szCs w:val="24"/>
        </w:rPr>
        <w:t xml:space="preserve"> </w:t>
      </w:r>
      <w:r w:rsidRPr="001134B3">
        <w:rPr>
          <w:rFonts w:eastAsia="Times New Roman"/>
          <w:sz w:val="24"/>
          <w:szCs w:val="24"/>
        </w:rPr>
        <w:t xml:space="preserve">875 P.2d 1354 (Colo. 1993); </w:t>
      </w:r>
      <w:r w:rsidRPr="001134B3">
        <w:rPr>
          <w:rFonts w:eastAsia="Times New Roman"/>
          <w:i/>
          <w:sz w:val="24"/>
          <w:szCs w:val="24"/>
        </w:rPr>
        <w:t>see</w:t>
      </w:r>
      <w:r w:rsidRPr="001134B3">
        <w:rPr>
          <w:rFonts w:eastAsia="Times New Roman"/>
          <w:sz w:val="24"/>
          <w:szCs w:val="24"/>
        </w:rPr>
        <w:t xml:space="preserve"> § 10-1-101, C.R.S. (“[A]ll persons having to do with insurance services to the public [shall] be at all times actuated by good faith in everything pertaining thereto . . . .”);</w:t>
      </w:r>
      <w:r w:rsidRPr="001134B3">
        <w:rPr>
          <w:rFonts w:eastAsia="Times New Roman"/>
          <w:b/>
          <w:sz w:val="24"/>
          <w:szCs w:val="24"/>
        </w:rPr>
        <w:t xml:space="preserve"> Wagner v. Travelers Prop. Cas. Co. of Am.,</w:t>
      </w:r>
      <w:r w:rsidRPr="001134B3">
        <w:rPr>
          <w:rFonts w:eastAsia="Times New Roman"/>
          <w:sz w:val="24"/>
          <w:szCs w:val="24"/>
        </w:rPr>
        <w:t xml:space="preserve"> 209 P.3d 1119, 1128 (Colo. App. 2009) (describing section 10-1-101 “as a standard of care applicable to the insurance industry actionable as a private claim”).</w:t>
      </w:r>
    </w:p>
    <w:p w14:paraId="491D884F" w14:textId="77777777" w:rsidR="001134B3" w:rsidRPr="001134B3" w:rsidRDefault="001134B3" w:rsidP="001134B3">
      <w:pPr>
        <w:spacing w:after="240"/>
        <w:ind w:firstLine="720"/>
        <w:rPr>
          <w:rFonts w:eastAsia="Times New Roman"/>
          <w:sz w:val="24"/>
          <w:szCs w:val="24"/>
        </w:rPr>
      </w:pPr>
      <w:r w:rsidRPr="001134B3">
        <w:rPr>
          <w:rFonts w:eastAsia="Times New Roman"/>
          <w:sz w:val="24"/>
          <w:szCs w:val="24"/>
        </w:rPr>
        <w:t xml:space="preserve">7. Bad faith conduct is cumulative and is to be determined based upon the entire course of conduct between the insurer and the insured. </w:t>
      </w:r>
      <w:r w:rsidRPr="001134B3">
        <w:rPr>
          <w:rFonts w:eastAsia="Times New Roman"/>
          <w:b/>
          <w:sz w:val="24"/>
          <w:szCs w:val="24"/>
        </w:rPr>
        <w:t>Dale v. Guar. Nat’l Ins. Co.</w:t>
      </w:r>
      <w:r w:rsidRPr="001134B3">
        <w:rPr>
          <w:rFonts w:eastAsia="Times New Roman"/>
          <w:sz w:val="24"/>
          <w:szCs w:val="24"/>
        </w:rPr>
        <w:t>, 948 P.2d 545 (Colo. 1997) (overruling</w:t>
      </w:r>
      <w:r w:rsidRPr="001134B3">
        <w:rPr>
          <w:rFonts w:eastAsia="Times New Roman"/>
          <w:i/>
          <w:sz w:val="24"/>
          <w:szCs w:val="24"/>
        </w:rPr>
        <w:t xml:space="preserve"> </w:t>
      </w:r>
      <w:r w:rsidRPr="001134B3">
        <w:rPr>
          <w:rFonts w:eastAsia="Times New Roman"/>
          <w:b/>
          <w:sz w:val="24"/>
          <w:szCs w:val="24"/>
        </w:rPr>
        <w:t>Leahy v. Guar. Nat’l Ins. Co.</w:t>
      </w:r>
      <w:r w:rsidRPr="001134B3">
        <w:rPr>
          <w:rFonts w:eastAsia="Times New Roman"/>
          <w:sz w:val="24"/>
          <w:szCs w:val="24"/>
        </w:rPr>
        <w:t xml:space="preserve">, 907 P.2d 697 (Colo. App. 1995)); </w:t>
      </w:r>
      <w:r w:rsidRPr="001134B3">
        <w:rPr>
          <w:rFonts w:eastAsia="Times New Roman"/>
          <w:i/>
          <w:sz w:val="24"/>
          <w:szCs w:val="24"/>
        </w:rPr>
        <w:t xml:space="preserve">accord </w:t>
      </w:r>
      <w:r w:rsidRPr="001134B3">
        <w:rPr>
          <w:rFonts w:eastAsia="Times New Roman"/>
          <w:b/>
          <w:sz w:val="24"/>
          <w:szCs w:val="24"/>
        </w:rPr>
        <w:t>Pham v. State Farm Mut. Auto. Ins. Co.</w:t>
      </w:r>
      <w:r w:rsidRPr="001134B3">
        <w:rPr>
          <w:rFonts w:eastAsia="Times New Roman"/>
          <w:sz w:val="24"/>
          <w:szCs w:val="24"/>
        </w:rPr>
        <w:t>, 70 P.3d 567, 572 (Colo. App. 2003) (“Bad faith breach of an insurance contract encompasses the entire course of conduct and is cumulative.”).</w:t>
      </w:r>
    </w:p>
    <w:p w14:paraId="0D032C9F" w14:textId="77777777" w:rsidR="001134B3" w:rsidRPr="001134B3" w:rsidRDefault="001134B3" w:rsidP="001134B3">
      <w:pPr>
        <w:spacing w:after="240"/>
        <w:ind w:firstLine="720"/>
        <w:rPr>
          <w:rFonts w:eastAsia="Times New Roman"/>
          <w:sz w:val="24"/>
          <w:szCs w:val="24"/>
        </w:rPr>
      </w:pPr>
      <w:r w:rsidRPr="001134B3">
        <w:rPr>
          <w:rFonts w:eastAsia="Times New Roman"/>
          <w:sz w:val="24"/>
          <w:szCs w:val="24"/>
        </w:rPr>
        <w:t xml:space="preserve">8. The duty of good faith and fair dealing does not arise, however, until the insurer is called upon to perform some duty imposed by the insurance contract. </w:t>
      </w:r>
      <w:r w:rsidRPr="001134B3">
        <w:rPr>
          <w:rFonts w:eastAsia="Times New Roman"/>
          <w:b/>
          <w:sz w:val="24"/>
          <w:szCs w:val="24"/>
        </w:rPr>
        <w:t>Daugherty v. Allstate Ins. Co.</w:t>
      </w:r>
      <w:r w:rsidRPr="001134B3">
        <w:rPr>
          <w:rFonts w:eastAsia="Times New Roman"/>
          <w:sz w:val="24"/>
          <w:szCs w:val="24"/>
        </w:rPr>
        <w:t xml:space="preserve">, 55 P.3d 224 (Colo. App. 2002). </w:t>
      </w:r>
      <w:r w:rsidRPr="001134B3">
        <w:rPr>
          <w:rFonts w:eastAsia="Times New Roman"/>
          <w:i/>
          <w:sz w:val="24"/>
          <w:szCs w:val="24"/>
        </w:rPr>
        <w:t>But see</w:t>
      </w:r>
      <w:r w:rsidRPr="001134B3">
        <w:rPr>
          <w:rFonts w:eastAsia="Times New Roman"/>
          <w:sz w:val="24"/>
          <w:szCs w:val="24"/>
        </w:rPr>
        <w:t xml:space="preserve"> </w:t>
      </w:r>
      <w:r w:rsidRPr="001134B3">
        <w:rPr>
          <w:rFonts w:eastAsia="Times New Roman"/>
          <w:b/>
          <w:sz w:val="24"/>
          <w:szCs w:val="24"/>
        </w:rPr>
        <w:t>Mullen v. Allstate Ins. Co.</w:t>
      </w:r>
      <w:r w:rsidRPr="001134B3">
        <w:rPr>
          <w:rFonts w:eastAsia="Times New Roman"/>
          <w:sz w:val="24"/>
          <w:szCs w:val="24"/>
        </w:rPr>
        <w:t>, 232 P.3d 168 (Colo. App. 2009) (apparently assuming insurer’s failure to inform insured of certain characteristics of the policy at the time of issuance could be bad faith, though affirming summary judgment order that no duty to disclose was violated).</w:t>
      </w:r>
    </w:p>
    <w:p w14:paraId="4DD39525" w14:textId="77777777" w:rsidR="001134B3" w:rsidRPr="001134B3" w:rsidRDefault="001134B3" w:rsidP="001134B3">
      <w:pPr>
        <w:spacing w:after="240"/>
        <w:ind w:firstLine="720"/>
        <w:rPr>
          <w:rFonts w:eastAsia="Times New Roman"/>
          <w:sz w:val="24"/>
          <w:szCs w:val="24"/>
        </w:rPr>
      </w:pPr>
      <w:r w:rsidRPr="001134B3">
        <w:rPr>
          <w:rFonts w:eastAsia="Times New Roman"/>
          <w:sz w:val="24"/>
          <w:szCs w:val="24"/>
        </w:rPr>
        <w:lastRenderedPageBreak/>
        <w:t xml:space="preserve">9. The fact that an insurer eventually pays all benefits due under an insurance contract is not dispositive of its liability for bad faith because it is the insurer’s affirmative act of refusing to pay benefits when due and failing to act in good faith, not the condition of nonpayment, that forms the basis of its liability. </w:t>
      </w:r>
      <w:r w:rsidRPr="001134B3">
        <w:rPr>
          <w:rFonts w:eastAsia="Times New Roman"/>
          <w:b/>
          <w:sz w:val="24"/>
          <w:szCs w:val="24"/>
        </w:rPr>
        <w:t>Goodson</w:t>
      </w:r>
      <w:r w:rsidRPr="001134B3">
        <w:rPr>
          <w:rFonts w:eastAsia="Times New Roman"/>
          <w:sz w:val="24"/>
          <w:szCs w:val="24"/>
        </w:rPr>
        <w:t xml:space="preserve">, 89 P.3d at 414 (citing </w:t>
      </w:r>
      <w:r w:rsidRPr="001134B3">
        <w:rPr>
          <w:rFonts w:eastAsia="Times New Roman"/>
          <w:b/>
          <w:sz w:val="24"/>
          <w:szCs w:val="24"/>
        </w:rPr>
        <w:t>Trimble</w:t>
      </w:r>
      <w:r w:rsidRPr="001134B3">
        <w:rPr>
          <w:rFonts w:eastAsia="Times New Roman"/>
          <w:sz w:val="24"/>
          <w:szCs w:val="24"/>
        </w:rPr>
        <w:t>, 691 P.2d at 1142).</w:t>
      </w:r>
    </w:p>
    <w:p w14:paraId="490D8DEC" w14:textId="77777777" w:rsidR="001134B3" w:rsidRPr="001134B3" w:rsidRDefault="001134B3" w:rsidP="001134B3">
      <w:pPr>
        <w:spacing w:after="240"/>
        <w:ind w:firstLine="720"/>
        <w:rPr>
          <w:rFonts w:eastAsia="Times New Roman"/>
          <w:sz w:val="24"/>
          <w:szCs w:val="24"/>
        </w:rPr>
      </w:pPr>
      <w:r w:rsidRPr="001134B3">
        <w:rPr>
          <w:rFonts w:eastAsia="Times New Roman"/>
          <w:sz w:val="24"/>
          <w:szCs w:val="24"/>
        </w:rPr>
        <w:t xml:space="preserve">10. An insurance company owes to those it insures the duty to communicate promptly and effectively with the insured and with anyone it was reasonably aware had or needed information pertaining to the insured’s claim. </w:t>
      </w:r>
      <w:r w:rsidRPr="001134B3">
        <w:rPr>
          <w:rFonts w:eastAsia="Times New Roman"/>
          <w:b/>
          <w:sz w:val="24"/>
          <w:szCs w:val="24"/>
        </w:rPr>
        <w:t>Dunn v. Am. Family Ins.</w:t>
      </w:r>
      <w:r w:rsidRPr="001134B3">
        <w:rPr>
          <w:rFonts w:eastAsia="Times New Roman"/>
          <w:sz w:val="24"/>
          <w:szCs w:val="24"/>
        </w:rPr>
        <w:t xml:space="preserve">, 251 P.3d 1232 (Colo. App. 2010); </w:t>
      </w:r>
      <w:r w:rsidRPr="001134B3">
        <w:rPr>
          <w:rFonts w:eastAsia="Times New Roman"/>
          <w:i/>
          <w:sz w:val="24"/>
          <w:szCs w:val="24"/>
        </w:rPr>
        <w:t>see</w:t>
      </w:r>
      <w:r w:rsidRPr="001134B3">
        <w:rPr>
          <w:rFonts w:eastAsia="Times New Roman"/>
          <w:sz w:val="24"/>
          <w:szCs w:val="24"/>
        </w:rPr>
        <w:t xml:space="preserve"> § 10-3-1104(1)(h)(II) &amp; (V), C.R.S.</w:t>
      </w:r>
    </w:p>
    <w:p w14:paraId="280A7CA3" w14:textId="77777777" w:rsidR="001134B3" w:rsidRPr="001134B3" w:rsidRDefault="001134B3" w:rsidP="001134B3">
      <w:pPr>
        <w:spacing w:after="240"/>
        <w:ind w:firstLine="720"/>
        <w:rPr>
          <w:rFonts w:eastAsia="Times New Roman"/>
          <w:sz w:val="24"/>
          <w:szCs w:val="24"/>
        </w:rPr>
      </w:pPr>
      <w:r w:rsidRPr="001134B3">
        <w:rPr>
          <w:rFonts w:eastAsia="Times New Roman"/>
          <w:sz w:val="24"/>
          <w:szCs w:val="24"/>
        </w:rPr>
        <w:t xml:space="preserve">11. Although an insurance company owes a duty to its insured to adjust a claim in good faith, an insurance company owes no such duty to a third-party making a claim against its insured. </w:t>
      </w:r>
      <w:r w:rsidRPr="001134B3">
        <w:rPr>
          <w:rFonts w:eastAsia="Times New Roman"/>
          <w:b/>
          <w:sz w:val="24"/>
          <w:szCs w:val="24"/>
        </w:rPr>
        <w:t>Goodson</w:t>
      </w:r>
      <w:r w:rsidRPr="001134B3">
        <w:rPr>
          <w:rFonts w:eastAsia="Times New Roman"/>
          <w:sz w:val="24"/>
          <w:szCs w:val="24"/>
        </w:rPr>
        <w:t xml:space="preserve">, 89 P.3d at 415; </w:t>
      </w:r>
      <w:r w:rsidRPr="001134B3">
        <w:rPr>
          <w:rFonts w:eastAsia="Times New Roman"/>
          <w:b/>
          <w:sz w:val="24"/>
          <w:szCs w:val="24"/>
        </w:rPr>
        <w:t>Lazar v. Riggs</w:t>
      </w:r>
      <w:r w:rsidRPr="001134B3">
        <w:rPr>
          <w:rFonts w:eastAsia="Times New Roman"/>
          <w:sz w:val="24"/>
          <w:szCs w:val="24"/>
        </w:rPr>
        <w:t>, 79 P.3d 105 (Colo. 2003).</w:t>
      </w:r>
    </w:p>
    <w:p w14:paraId="355C5441" w14:textId="77777777" w:rsidR="00D72662" w:rsidRDefault="00D72662">
      <w:pPr>
        <w:rPr>
          <w:rFonts w:eastAsia="Times New Roman"/>
          <w:sz w:val="24"/>
          <w:szCs w:val="24"/>
        </w:rPr>
      </w:pPr>
      <w:r>
        <w:rPr>
          <w:rFonts w:eastAsia="Times New Roman"/>
          <w:sz w:val="24"/>
          <w:szCs w:val="24"/>
        </w:rPr>
        <w:br w:type="page"/>
      </w:r>
    </w:p>
    <w:p w14:paraId="32190FB1" w14:textId="77777777" w:rsidR="00D72662" w:rsidRPr="009E3DA4" w:rsidRDefault="00D72662" w:rsidP="00D72662">
      <w:pPr>
        <w:spacing w:after="240"/>
        <w:ind w:left="720" w:hanging="720"/>
        <w:rPr>
          <w:rFonts w:eastAsia="Times New Roman"/>
          <w:b/>
          <w:sz w:val="24"/>
          <w:szCs w:val="24"/>
        </w:rPr>
      </w:pPr>
      <w:bookmarkStart w:id="9" w:name="a25_09"/>
      <w:bookmarkEnd w:id="9"/>
      <w:r w:rsidRPr="00D72662">
        <w:rPr>
          <w:rFonts w:eastAsia="Times New Roman"/>
          <w:b/>
          <w:sz w:val="24"/>
          <w:szCs w:val="24"/>
        </w:rPr>
        <w:lastRenderedPageBreak/>
        <w:t xml:space="preserve">25:9 </w:t>
      </w:r>
      <w:r w:rsidRPr="00D72662">
        <w:rPr>
          <w:rFonts w:eastAsia="Times New Roman"/>
          <w:b/>
          <w:sz w:val="24"/>
          <w:szCs w:val="24"/>
        </w:rPr>
        <w:tab/>
        <w:t>ACTUAL DAMAGES — COMMON-LAW CLAIMS</w:t>
      </w:r>
    </w:p>
    <w:p w14:paraId="067BB71F" w14:textId="3F1873F5" w:rsidR="00D72662" w:rsidRPr="00D72662" w:rsidRDefault="00D72662" w:rsidP="00D72662">
      <w:pPr>
        <w:spacing w:after="240"/>
        <w:ind w:firstLine="720"/>
        <w:rPr>
          <w:rFonts w:eastAsia="Times New Roman"/>
          <w:b/>
          <w:sz w:val="24"/>
          <w:szCs w:val="24"/>
        </w:rPr>
      </w:pPr>
      <w:r w:rsidRPr="00D72662">
        <w:rPr>
          <w:rFonts w:eastAsia="Times New Roman"/>
          <w:b/>
          <w:sz w:val="24"/>
          <w:szCs w:val="24"/>
        </w:rPr>
        <w:t xml:space="preserve">Plaintiff, </w:t>
      </w:r>
      <w:r w:rsidRPr="00D72662">
        <w:rPr>
          <w:rFonts w:eastAsia="Times New Roman"/>
          <w:i/>
          <w:sz w:val="24"/>
          <w:szCs w:val="24"/>
        </w:rPr>
        <w:t>(name)</w:t>
      </w:r>
      <w:r w:rsidRPr="00D72662">
        <w:rPr>
          <w:rFonts w:eastAsia="Times New Roman"/>
          <w:b/>
          <w:sz w:val="24"/>
          <w:szCs w:val="24"/>
        </w:rPr>
        <w:t xml:space="preserve">, has the burden of proving, by a preponderance of the evidence, the nature and extent of </w:t>
      </w:r>
      <w:r w:rsidR="00371D9F" w:rsidRPr="00D8019D">
        <w:rPr>
          <w:rFonts w:eastAsia="Times New Roman"/>
          <w:bCs/>
          <w:i/>
          <w:iCs/>
          <w:sz w:val="24"/>
          <w:szCs w:val="24"/>
        </w:rPr>
        <w:t>(insert applicable pronoun)</w:t>
      </w:r>
      <w:r w:rsidRPr="00D72662">
        <w:rPr>
          <w:rFonts w:eastAsia="Times New Roman"/>
          <w:b/>
          <w:sz w:val="24"/>
          <w:szCs w:val="24"/>
        </w:rPr>
        <w:t xml:space="preserve"> damages. If you find in favor of the plaintiff, you must determine the total dollar amount of plaintiff’s damages, if any, that were caused by the bad faith breach of insurance contract by the defendant(s), </w:t>
      </w:r>
      <w:r w:rsidRPr="00D72662">
        <w:rPr>
          <w:rFonts w:eastAsia="Times New Roman"/>
          <w:i/>
          <w:sz w:val="24"/>
          <w:szCs w:val="24"/>
        </w:rPr>
        <w:t>(name[s])</w:t>
      </w:r>
      <w:r w:rsidRPr="00D72662">
        <w:rPr>
          <w:rFonts w:eastAsia="Times New Roman"/>
          <w:b/>
          <w:sz w:val="24"/>
          <w:szCs w:val="24"/>
        </w:rPr>
        <w:t xml:space="preserve"> (and the </w:t>
      </w:r>
      <w:r w:rsidRPr="00D72662">
        <w:rPr>
          <w:rFonts w:eastAsia="Times New Roman"/>
          <w:i/>
          <w:sz w:val="24"/>
          <w:szCs w:val="24"/>
        </w:rPr>
        <w:t>[insert appropriate description, e.g., “negligence”]</w:t>
      </w:r>
      <w:r w:rsidRPr="00D72662">
        <w:rPr>
          <w:rFonts w:eastAsia="Times New Roman"/>
          <w:b/>
          <w:sz w:val="24"/>
          <w:szCs w:val="24"/>
        </w:rPr>
        <w:t xml:space="preserve"> of any designated nonparties).</w:t>
      </w:r>
    </w:p>
    <w:p w14:paraId="532CCE1E" w14:textId="77777777" w:rsidR="00D72662" w:rsidRPr="00D72662" w:rsidRDefault="00D72662" w:rsidP="00D72662">
      <w:pPr>
        <w:spacing w:after="240"/>
        <w:ind w:firstLine="720"/>
        <w:rPr>
          <w:rFonts w:eastAsia="Times New Roman"/>
          <w:b/>
          <w:sz w:val="24"/>
          <w:szCs w:val="24"/>
        </w:rPr>
      </w:pPr>
      <w:r w:rsidRPr="00D72662">
        <w:rPr>
          <w:rFonts w:eastAsia="Times New Roman"/>
          <w:b/>
          <w:sz w:val="24"/>
          <w:szCs w:val="24"/>
        </w:rPr>
        <w:t>In determining these damages, you shall consider the following:</w:t>
      </w:r>
    </w:p>
    <w:p w14:paraId="78EC3507" w14:textId="77777777" w:rsidR="00D72662" w:rsidRPr="00D72662" w:rsidRDefault="00D72662" w:rsidP="00D72662">
      <w:pPr>
        <w:spacing w:after="240"/>
        <w:ind w:firstLine="720"/>
        <w:rPr>
          <w:rFonts w:eastAsia="Times New Roman"/>
          <w:b/>
          <w:sz w:val="24"/>
          <w:szCs w:val="24"/>
        </w:rPr>
      </w:pPr>
      <w:r w:rsidRPr="00D72662">
        <w:rPr>
          <w:rFonts w:eastAsia="Times New Roman"/>
          <w:b/>
          <w:sz w:val="24"/>
          <w:szCs w:val="24"/>
        </w:rPr>
        <w:t xml:space="preserve">1. Any noneconomic losses or injuries that plaintiff has had or will probably have in the future, including: </w:t>
      </w:r>
      <w:r w:rsidRPr="00D72662">
        <w:rPr>
          <w:rFonts w:eastAsia="Times New Roman"/>
          <w:i/>
          <w:sz w:val="24"/>
          <w:szCs w:val="24"/>
        </w:rPr>
        <w:t>(insert any recoverable noneconomic losses for which there is sufficient evidence)</w:t>
      </w:r>
      <w:r w:rsidRPr="00D72662">
        <w:rPr>
          <w:rFonts w:eastAsia="Times New Roman"/>
          <w:b/>
          <w:sz w:val="24"/>
          <w:szCs w:val="24"/>
        </w:rPr>
        <w:t>; and</w:t>
      </w:r>
    </w:p>
    <w:p w14:paraId="18BB4F79" w14:textId="77777777" w:rsidR="00D72662" w:rsidRPr="00D72662" w:rsidRDefault="00D72662" w:rsidP="00D72662">
      <w:pPr>
        <w:spacing w:after="240"/>
        <w:ind w:firstLine="720"/>
        <w:rPr>
          <w:rFonts w:eastAsia="Times New Roman"/>
          <w:b/>
          <w:sz w:val="24"/>
          <w:szCs w:val="24"/>
        </w:rPr>
      </w:pPr>
      <w:r w:rsidRPr="00D72662">
        <w:rPr>
          <w:rFonts w:eastAsia="Times New Roman"/>
          <w:b/>
          <w:sz w:val="24"/>
          <w:szCs w:val="24"/>
        </w:rPr>
        <w:t xml:space="preserve">2. Any economic losses that plaintiff has had or will probably have in the future, including: </w:t>
      </w:r>
      <w:r w:rsidRPr="00D72662">
        <w:rPr>
          <w:rFonts w:eastAsia="Times New Roman"/>
          <w:i/>
          <w:sz w:val="24"/>
          <w:szCs w:val="24"/>
        </w:rPr>
        <w:t>(insert any recoverable economic losses for which there is sufficient evidence)</w:t>
      </w:r>
      <w:r w:rsidRPr="00D72662">
        <w:rPr>
          <w:rFonts w:eastAsia="Times New Roman"/>
          <w:b/>
          <w:sz w:val="24"/>
          <w:szCs w:val="24"/>
        </w:rPr>
        <w:t>.</w:t>
      </w:r>
    </w:p>
    <w:p w14:paraId="64E4873B" w14:textId="77777777" w:rsidR="00D72662" w:rsidRPr="00D72662" w:rsidRDefault="00D72662" w:rsidP="00D72662">
      <w:pPr>
        <w:spacing w:after="240"/>
        <w:ind w:firstLine="720"/>
        <w:rPr>
          <w:rFonts w:eastAsia="Times New Roman"/>
          <w:b/>
          <w:sz w:val="24"/>
          <w:szCs w:val="24"/>
        </w:rPr>
      </w:pPr>
      <w:r w:rsidRPr="00D72662">
        <w:rPr>
          <w:rFonts w:eastAsia="Times New Roman"/>
          <w:b/>
          <w:sz w:val="24"/>
          <w:szCs w:val="24"/>
        </w:rPr>
        <w:t xml:space="preserve">(3. Any [physical impairment] [or] [disfigurement]. In considering damages in this category, you shall not include damages again for losses or injuries already determined under either numbered paragraph 1 or 2.) </w:t>
      </w:r>
    </w:p>
    <w:p w14:paraId="2E24DE11" w14:textId="77777777" w:rsidR="00D72662" w:rsidRDefault="00D72662" w:rsidP="00D72662">
      <w:pPr>
        <w:jc w:val="center"/>
        <w:rPr>
          <w:rFonts w:eastAsia="Times New Roman"/>
          <w:sz w:val="24"/>
          <w:szCs w:val="24"/>
        </w:rPr>
      </w:pPr>
    </w:p>
    <w:p w14:paraId="576800C6" w14:textId="77777777" w:rsidR="00D72662" w:rsidRPr="0054263B" w:rsidRDefault="00D72662" w:rsidP="00D72662">
      <w:pPr>
        <w:keepNext/>
        <w:spacing w:after="240"/>
        <w:jc w:val="center"/>
        <w:rPr>
          <w:rFonts w:eastAsia="Times New Roman"/>
          <w:b/>
          <w:sz w:val="24"/>
          <w:szCs w:val="24"/>
        </w:rPr>
      </w:pPr>
      <w:r w:rsidRPr="0054263B">
        <w:rPr>
          <w:rFonts w:eastAsia="Times New Roman"/>
          <w:b/>
          <w:sz w:val="24"/>
          <w:szCs w:val="24"/>
        </w:rPr>
        <w:t>Notes on Use</w:t>
      </w:r>
    </w:p>
    <w:p w14:paraId="4BF29A86" w14:textId="77777777" w:rsidR="00D72662" w:rsidRPr="00D72662" w:rsidRDefault="00D72662" w:rsidP="00D72662">
      <w:pPr>
        <w:spacing w:after="240"/>
        <w:ind w:firstLine="720"/>
        <w:rPr>
          <w:rFonts w:eastAsia="Times New Roman"/>
          <w:sz w:val="24"/>
          <w:szCs w:val="24"/>
        </w:rPr>
      </w:pPr>
      <w:r w:rsidRPr="00D72662">
        <w:rPr>
          <w:rFonts w:eastAsia="Times New Roman"/>
          <w:sz w:val="24"/>
          <w:szCs w:val="24"/>
        </w:rPr>
        <w:t>1. The Notes on Use to Instruction 6:1 are also applicable to this instruction.</w:t>
      </w:r>
    </w:p>
    <w:p w14:paraId="351EE46A" w14:textId="77777777" w:rsidR="00D72662" w:rsidRPr="00D72662" w:rsidRDefault="00D72662" w:rsidP="00D72662">
      <w:pPr>
        <w:spacing w:after="240"/>
        <w:ind w:firstLine="720"/>
        <w:rPr>
          <w:rFonts w:eastAsia="Times New Roman"/>
          <w:sz w:val="24"/>
          <w:szCs w:val="24"/>
        </w:rPr>
      </w:pPr>
      <w:r w:rsidRPr="00D72662">
        <w:rPr>
          <w:rFonts w:eastAsia="Times New Roman"/>
          <w:sz w:val="24"/>
          <w:szCs w:val="24"/>
        </w:rPr>
        <w:t xml:space="preserve">2. This instruction applies only to common-law claims under Instructions 25:1 and 25:2 and may not be given in statutory first-party claims under sections 10-3-1115 and -1116, C.R.S., submitted under Instructions 25:4 and 25:10. </w:t>
      </w:r>
    </w:p>
    <w:p w14:paraId="7D2D9943" w14:textId="77777777" w:rsidR="00D72662" w:rsidRPr="00D72662" w:rsidRDefault="00D72662" w:rsidP="00D72662">
      <w:pPr>
        <w:spacing w:after="240"/>
        <w:ind w:firstLine="720"/>
        <w:rPr>
          <w:rFonts w:eastAsia="Times New Roman"/>
          <w:sz w:val="24"/>
          <w:szCs w:val="24"/>
        </w:rPr>
      </w:pPr>
      <w:r w:rsidRPr="00D72662">
        <w:rPr>
          <w:rFonts w:eastAsia="Times New Roman"/>
          <w:sz w:val="24"/>
          <w:szCs w:val="24"/>
        </w:rPr>
        <w:t xml:space="preserve">3. The amount of damages requested should not be stated in this instruction or in the statement of the case. </w:t>
      </w:r>
      <w:r w:rsidRPr="00D72662">
        <w:rPr>
          <w:rFonts w:eastAsia="Times New Roman"/>
          <w:b/>
          <w:sz w:val="24"/>
          <w:szCs w:val="24"/>
        </w:rPr>
        <w:t>Rodrigue v. Hausman</w:t>
      </w:r>
      <w:r w:rsidRPr="00D72662">
        <w:rPr>
          <w:rFonts w:eastAsia="Times New Roman"/>
          <w:sz w:val="24"/>
          <w:szCs w:val="24"/>
        </w:rPr>
        <w:t>, 33 Colo. App. 305, 519 P.2d 1216 (1974).</w:t>
      </w:r>
    </w:p>
    <w:p w14:paraId="595D889D" w14:textId="77777777" w:rsidR="00D72662" w:rsidRDefault="00D72662" w:rsidP="00D72662">
      <w:pPr>
        <w:spacing w:after="240"/>
        <w:ind w:firstLine="720"/>
        <w:rPr>
          <w:rFonts w:eastAsia="Times New Roman"/>
          <w:sz w:val="24"/>
          <w:szCs w:val="24"/>
        </w:rPr>
      </w:pPr>
      <w:r w:rsidRPr="00D72662">
        <w:rPr>
          <w:rFonts w:eastAsia="Times New Roman"/>
          <w:sz w:val="24"/>
          <w:szCs w:val="24"/>
        </w:rPr>
        <w:t xml:space="preserve">4. When the insurer spotlights the insured’s preexisting mental or physical condition in an attempt to avoid or reduce liability to pay benefits, a “thin-skull” instruction should be given. </w:t>
      </w:r>
      <w:r w:rsidRPr="00D72662">
        <w:rPr>
          <w:rFonts w:eastAsia="Times New Roman"/>
          <w:b/>
          <w:sz w:val="24"/>
          <w:szCs w:val="24"/>
        </w:rPr>
        <w:t>State Farm Mut. Auto. Ins. Co. v. Peiffer</w:t>
      </w:r>
      <w:r w:rsidRPr="00D72662">
        <w:rPr>
          <w:rFonts w:eastAsia="Times New Roman"/>
          <w:sz w:val="24"/>
          <w:szCs w:val="24"/>
        </w:rPr>
        <w:t>,</w:t>
      </w:r>
      <w:r w:rsidRPr="00D72662">
        <w:rPr>
          <w:rFonts w:eastAsia="Times New Roman"/>
          <w:b/>
          <w:sz w:val="24"/>
          <w:szCs w:val="24"/>
        </w:rPr>
        <w:t xml:space="preserve"> </w:t>
      </w:r>
      <w:r w:rsidRPr="00D72662">
        <w:rPr>
          <w:rFonts w:eastAsia="Times New Roman"/>
          <w:sz w:val="24"/>
          <w:szCs w:val="24"/>
        </w:rPr>
        <w:t>955 P.2d 1008 (Colo. 1998).</w:t>
      </w:r>
    </w:p>
    <w:p w14:paraId="744ED0D0" w14:textId="4CF2564B" w:rsidR="0000771A" w:rsidRPr="0000771A" w:rsidRDefault="0000771A" w:rsidP="00D72662">
      <w:pPr>
        <w:spacing w:after="240"/>
        <w:ind w:firstLine="720"/>
        <w:rPr>
          <w:rFonts w:eastAsia="Times New Roman"/>
          <w:sz w:val="24"/>
          <w:szCs w:val="24"/>
        </w:rPr>
      </w:pPr>
      <w:r w:rsidRPr="0000771A">
        <w:rPr>
          <w:rFonts w:eastAsia="Times New Roman"/>
          <w:sz w:val="24"/>
          <w:szCs w:val="24"/>
        </w:rPr>
        <w:t xml:space="preserve">5. </w:t>
      </w:r>
      <w:r w:rsidRPr="0000771A">
        <w:rPr>
          <w:sz w:val="24"/>
          <w:szCs w:val="24"/>
        </w:rPr>
        <w:t>An insured’s judgment for economic damages in the form of covered UM/UIM benefits may not be set</w:t>
      </w:r>
      <w:r>
        <w:rPr>
          <w:sz w:val="24"/>
          <w:szCs w:val="24"/>
        </w:rPr>
        <w:t xml:space="preserve"> </w:t>
      </w:r>
      <w:r w:rsidRPr="0000771A">
        <w:rPr>
          <w:sz w:val="24"/>
          <w:szCs w:val="24"/>
        </w:rPr>
        <w:t>off by amounts insurer paid pursuant to</w:t>
      </w:r>
      <w:r w:rsidR="008B5E97">
        <w:rPr>
          <w:sz w:val="24"/>
          <w:szCs w:val="24"/>
        </w:rPr>
        <w:t xml:space="preserve"> medical payments</w:t>
      </w:r>
      <w:r w:rsidRPr="0000771A">
        <w:rPr>
          <w:sz w:val="24"/>
          <w:szCs w:val="24"/>
        </w:rPr>
        <w:t xml:space="preserve"> </w:t>
      </w:r>
      <w:r w:rsidR="008B5E97">
        <w:rPr>
          <w:sz w:val="24"/>
          <w:szCs w:val="24"/>
        </w:rPr>
        <w:t xml:space="preserve">(MedPay) </w:t>
      </w:r>
      <w:r w:rsidRPr="0000771A">
        <w:rPr>
          <w:sz w:val="24"/>
          <w:szCs w:val="24"/>
        </w:rPr>
        <w:t xml:space="preserve">coverage. </w:t>
      </w:r>
      <w:r w:rsidRPr="0000771A">
        <w:rPr>
          <w:b/>
          <w:sz w:val="24"/>
          <w:szCs w:val="24"/>
        </w:rPr>
        <w:t>Calderon v. Am. Family Mut. Ins. Co.</w:t>
      </w:r>
      <w:r w:rsidRPr="0000771A">
        <w:rPr>
          <w:sz w:val="24"/>
          <w:szCs w:val="24"/>
        </w:rPr>
        <w:t xml:space="preserve">, 2016 CO 72, </w:t>
      </w:r>
      <w:r w:rsidR="00167B70">
        <w:rPr>
          <w:sz w:val="24"/>
          <w:szCs w:val="24"/>
        </w:rPr>
        <w:t xml:space="preserve">¶ 17, </w:t>
      </w:r>
      <w:r w:rsidRPr="0000771A">
        <w:rPr>
          <w:sz w:val="24"/>
          <w:szCs w:val="24"/>
        </w:rPr>
        <w:t>383 P.3d 676.</w:t>
      </w:r>
      <w:r>
        <w:rPr>
          <w:sz w:val="24"/>
          <w:szCs w:val="24"/>
        </w:rPr>
        <w:t xml:space="preserve"> </w:t>
      </w:r>
      <w:r w:rsidRPr="0000771A">
        <w:rPr>
          <w:sz w:val="24"/>
          <w:szCs w:val="24"/>
        </w:rPr>
        <w:t xml:space="preserve">However, setoff for MedPay benefits paid is permissible when it is </w:t>
      </w:r>
      <w:r w:rsidR="008B5E97">
        <w:rPr>
          <w:sz w:val="24"/>
          <w:szCs w:val="24"/>
        </w:rPr>
        <w:t xml:space="preserve">part of a </w:t>
      </w:r>
      <w:r w:rsidR="005F145C" w:rsidRPr="0000771A">
        <w:rPr>
          <w:sz w:val="24"/>
          <w:szCs w:val="24"/>
        </w:rPr>
        <w:t>negotiated settlement agreement prior to suit or judgment</w:t>
      </w:r>
      <w:r w:rsidRPr="0000771A">
        <w:rPr>
          <w:sz w:val="24"/>
          <w:szCs w:val="24"/>
        </w:rPr>
        <w:t xml:space="preserve">. </w:t>
      </w:r>
      <w:r w:rsidRPr="005F145C">
        <w:rPr>
          <w:b/>
          <w:sz w:val="24"/>
          <w:szCs w:val="24"/>
        </w:rPr>
        <w:t>Arline v. Am. Family Mut. Ins. Co.</w:t>
      </w:r>
      <w:r w:rsidRPr="0000771A">
        <w:rPr>
          <w:sz w:val="24"/>
          <w:szCs w:val="24"/>
        </w:rPr>
        <w:t>, 2018 COA 82, ¶ 13</w:t>
      </w:r>
      <w:r w:rsidR="00167B70">
        <w:rPr>
          <w:sz w:val="24"/>
          <w:szCs w:val="24"/>
        </w:rPr>
        <w:t>, 431 P.3d 670</w:t>
      </w:r>
      <w:r w:rsidRPr="0000771A">
        <w:rPr>
          <w:sz w:val="24"/>
          <w:szCs w:val="24"/>
        </w:rPr>
        <w:t>.</w:t>
      </w:r>
    </w:p>
    <w:p w14:paraId="0EADBD57" w14:textId="77777777" w:rsidR="00D72662" w:rsidRPr="0054263B" w:rsidRDefault="00D72662" w:rsidP="00D72662">
      <w:pPr>
        <w:keepNext/>
        <w:spacing w:after="240"/>
        <w:jc w:val="center"/>
        <w:rPr>
          <w:rFonts w:eastAsia="Times New Roman"/>
          <w:b/>
          <w:sz w:val="24"/>
          <w:szCs w:val="24"/>
        </w:rPr>
      </w:pPr>
      <w:r>
        <w:rPr>
          <w:rFonts w:eastAsia="Times New Roman"/>
          <w:b/>
          <w:sz w:val="24"/>
          <w:szCs w:val="24"/>
        </w:rPr>
        <w:t>Source and Authority</w:t>
      </w:r>
    </w:p>
    <w:p w14:paraId="3A457D29" w14:textId="77777777" w:rsidR="00D72662" w:rsidRPr="00D72662" w:rsidRDefault="00D72662" w:rsidP="00D72662">
      <w:pPr>
        <w:spacing w:after="240"/>
        <w:ind w:firstLine="720"/>
        <w:rPr>
          <w:rFonts w:eastAsia="Times New Roman"/>
          <w:sz w:val="24"/>
          <w:szCs w:val="24"/>
        </w:rPr>
      </w:pPr>
      <w:r w:rsidRPr="00D72662">
        <w:rPr>
          <w:rFonts w:eastAsia="Times New Roman"/>
          <w:sz w:val="24"/>
          <w:szCs w:val="24"/>
        </w:rPr>
        <w:t xml:space="preserve">1. This instruction is supported by </w:t>
      </w:r>
      <w:r w:rsidRPr="00D72662">
        <w:rPr>
          <w:rFonts w:eastAsia="Times New Roman"/>
          <w:b/>
          <w:sz w:val="24"/>
          <w:szCs w:val="24"/>
        </w:rPr>
        <w:t>Farmers Group, Inc. v. Trimble</w:t>
      </w:r>
      <w:r w:rsidRPr="00D72662">
        <w:rPr>
          <w:rFonts w:eastAsia="Times New Roman"/>
          <w:sz w:val="24"/>
          <w:szCs w:val="24"/>
        </w:rPr>
        <w:t xml:space="preserve">, 658 P.2d 1370 (Colo. App. 1982, </w:t>
      </w:r>
      <w:r w:rsidRPr="00D72662">
        <w:rPr>
          <w:rFonts w:eastAsia="Times New Roman"/>
          <w:i/>
          <w:sz w:val="24"/>
          <w:szCs w:val="24"/>
        </w:rPr>
        <w:t>aff’d</w:t>
      </w:r>
      <w:r w:rsidRPr="00D72662">
        <w:rPr>
          <w:rFonts w:eastAsia="Times New Roman"/>
          <w:sz w:val="24"/>
          <w:szCs w:val="24"/>
        </w:rPr>
        <w:t>, 691 P.2d 1138 (Colo. 1984).</w:t>
      </w:r>
      <w:r w:rsidRPr="00D72662" w:rsidDel="004D291F">
        <w:rPr>
          <w:rFonts w:eastAsia="Times New Roman"/>
          <w:sz w:val="24"/>
          <w:szCs w:val="24"/>
        </w:rPr>
        <w:t xml:space="preserve"> </w:t>
      </w:r>
      <w:r w:rsidRPr="00D72662">
        <w:rPr>
          <w:rFonts w:eastAsia="Times New Roman"/>
          <w:i/>
          <w:sz w:val="24"/>
          <w:szCs w:val="24"/>
        </w:rPr>
        <w:t>See also</w:t>
      </w:r>
      <w:r w:rsidRPr="00D72662">
        <w:rPr>
          <w:rFonts w:eastAsia="Times New Roman"/>
          <w:sz w:val="24"/>
          <w:szCs w:val="24"/>
        </w:rPr>
        <w:t xml:space="preserve"> </w:t>
      </w:r>
      <w:r w:rsidRPr="00D72662">
        <w:rPr>
          <w:rFonts w:eastAsia="Times New Roman"/>
          <w:b/>
          <w:sz w:val="24"/>
          <w:szCs w:val="24"/>
        </w:rPr>
        <w:t>Ballow v. PHICO Ins. Co.</w:t>
      </w:r>
      <w:r w:rsidRPr="00D72662">
        <w:rPr>
          <w:rFonts w:eastAsia="Times New Roman"/>
          <w:sz w:val="24"/>
          <w:szCs w:val="24"/>
        </w:rPr>
        <w:t xml:space="preserve">, 878 </w:t>
      </w:r>
      <w:r w:rsidRPr="00D72662">
        <w:rPr>
          <w:rFonts w:eastAsia="Times New Roman"/>
          <w:sz w:val="24"/>
          <w:szCs w:val="24"/>
        </w:rPr>
        <w:lastRenderedPageBreak/>
        <w:t xml:space="preserve">P.2d 672 (Colo. 1994) (in action for bad faith breach of insurance contract, insured is entitled to recover damages based on traditional tort principles of compensation for injuries actually suffered, including emotional stress); </w:t>
      </w:r>
      <w:r w:rsidRPr="00D72662">
        <w:rPr>
          <w:rFonts w:eastAsia="Times New Roman"/>
          <w:b/>
          <w:sz w:val="24"/>
          <w:szCs w:val="24"/>
        </w:rPr>
        <w:t>City of Westminster v. Centric-Jones Constructors</w:t>
      </w:r>
      <w:r w:rsidRPr="00D72662">
        <w:rPr>
          <w:rFonts w:eastAsia="Times New Roman"/>
          <w:sz w:val="24"/>
          <w:szCs w:val="24"/>
        </w:rPr>
        <w:t>,</w:t>
      </w:r>
      <w:r w:rsidRPr="00D72662">
        <w:rPr>
          <w:rFonts w:eastAsia="Times New Roman"/>
          <w:b/>
          <w:sz w:val="24"/>
          <w:szCs w:val="24"/>
        </w:rPr>
        <w:t xml:space="preserve"> </w:t>
      </w:r>
      <w:r w:rsidRPr="00D72662">
        <w:rPr>
          <w:rFonts w:eastAsia="Times New Roman"/>
          <w:sz w:val="24"/>
          <w:szCs w:val="24"/>
        </w:rPr>
        <w:t xml:space="preserve">100 P.3d 472 (Colo. App. 2003); </w:t>
      </w:r>
      <w:r w:rsidRPr="00D72662">
        <w:rPr>
          <w:rFonts w:eastAsia="Times New Roman"/>
          <w:b/>
          <w:sz w:val="24"/>
          <w:szCs w:val="24"/>
        </w:rPr>
        <w:t>Herod v. Colo. Farm Bureau Mut. Ins. Co.</w:t>
      </w:r>
      <w:r w:rsidRPr="00D72662">
        <w:rPr>
          <w:rFonts w:eastAsia="Times New Roman"/>
          <w:sz w:val="24"/>
          <w:szCs w:val="24"/>
        </w:rPr>
        <w:t>,</w:t>
      </w:r>
      <w:r w:rsidRPr="00D72662">
        <w:rPr>
          <w:rFonts w:eastAsia="Times New Roman"/>
          <w:b/>
          <w:sz w:val="24"/>
          <w:szCs w:val="24"/>
        </w:rPr>
        <w:t xml:space="preserve"> </w:t>
      </w:r>
      <w:r w:rsidRPr="00D72662">
        <w:rPr>
          <w:rFonts w:eastAsia="Times New Roman"/>
          <w:sz w:val="24"/>
          <w:szCs w:val="24"/>
        </w:rPr>
        <w:t xml:space="preserve">928 P.2d 834 (Colo. App. 1996); </w:t>
      </w:r>
      <w:r w:rsidRPr="00D72662">
        <w:rPr>
          <w:rFonts w:eastAsia="Times New Roman"/>
          <w:b/>
          <w:sz w:val="24"/>
          <w:szCs w:val="24"/>
        </w:rPr>
        <w:t>Bernhard v. Farmers Ins. Exch.</w:t>
      </w:r>
      <w:r w:rsidRPr="00D72662">
        <w:rPr>
          <w:rFonts w:eastAsia="Times New Roman"/>
          <w:sz w:val="24"/>
          <w:szCs w:val="24"/>
        </w:rPr>
        <w:t xml:space="preserve">, 885 P.2d 265 (Colo. App. 1994), </w:t>
      </w:r>
      <w:r w:rsidRPr="00D72662">
        <w:rPr>
          <w:rFonts w:eastAsia="Times New Roman"/>
          <w:i/>
          <w:sz w:val="24"/>
          <w:szCs w:val="24"/>
        </w:rPr>
        <w:t>aff’d on other grounds</w:t>
      </w:r>
      <w:r w:rsidRPr="00D72662">
        <w:rPr>
          <w:rFonts w:eastAsia="Times New Roman"/>
          <w:sz w:val="24"/>
          <w:szCs w:val="24"/>
        </w:rPr>
        <w:t xml:space="preserve">, 915 P.2d 1285 (Colo. 1996); </w:t>
      </w:r>
      <w:r w:rsidRPr="00D72662">
        <w:rPr>
          <w:rFonts w:eastAsia="Times New Roman"/>
          <w:b/>
          <w:sz w:val="24"/>
          <w:szCs w:val="24"/>
        </w:rPr>
        <w:t>South Park Aggregates, Inc. v. Nw. Nat’l Ins. Co.</w:t>
      </w:r>
      <w:r w:rsidRPr="00D72662">
        <w:rPr>
          <w:rFonts w:eastAsia="Times New Roman"/>
          <w:sz w:val="24"/>
          <w:szCs w:val="24"/>
        </w:rPr>
        <w:t>, 847 P.2d 218 (Colo. App. 1992) (citing instruction with approval).</w:t>
      </w:r>
    </w:p>
    <w:p w14:paraId="16DF5D79" w14:textId="77777777" w:rsidR="00D72662" w:rsidRPr="00D72662" w:rsidRDefault="00D72662" w:rsidP="00D72662">
      <w:pPr>
        <w:spacing w:after="240"/>
        <w:ind w:firstLine="720"/>
        <w:rPr>
          <w:rFonts w:eastAsia="Times New Roman"/>
          <w:sz w:val="24"/>
          <w:szCs w:val="24"/>
        </w:rPr>
      </w:pPr>
      <w:r w:rsidRPr="00D72662">
        <w:rPr>
          <w:rFonts w:eastAsia="Times New Roman"/>
          <w:sz w:val="24"/>
          <w:szCs w:val="24"/>
        </w:rPr>
        <w:t xml:space="preserve">2. For a comparison of damages recoverable in contract and tort for an insurer’s breach of the duty to defend a third-party action, see </w:t>
      </w:r>
      <w:r w:rsidRPr="00D72662">
        <w:rPr>
          <w:rFonts w:eastAsia="Times New Roman"/>
          <w:b/>
          <w:sz w:val="24"/>
          <w:szCs w:val="24"/>
        </w:rPr>
        <w:t>Bainbridge, Inc. v. Travelers Casualty Co.</w:t>
      </w:r>
      <w:r w:rsidRPr="00D72662">
        <w:rPr>
          <w:rFonts w:eastAsia="Times New Roman"/>
          <w:sz w:val="24"/>
          <w:szCs w:val="24"/>
        </w:rPr>
        <w:t>, 159 P.3d 748 (Colo. App. 2006).</w:t>
      </w:r>
    </w:p>
    <w:p w14:paraId="12119AB1" w14:textId="77777777" w:rsidR="00D72662" w:rsidRPr="00D72662" w:rsidRDefault="00D72662" w:rsidP="00D72662">
      <w:pPr>
        <w:spacing w:after="240"/>
        <w:ind w:firstLine="720"/>
        <w:rPr>
          <w:rFonts w:eastAsia="Times New Roman"/>
          <w:sz w:val="24"/>
          <w:szCs w:val="24"/>
        </w:rPr>
      </w:pPr>
      <w:r w:rsidRPr="00D72662">
        <w:rPr>
          <w:rFonts w:eastAsia="Times New Roman"/>
          <w:sz w:val="24"/>
          <w:szCs w:val="24"/>
        </w:rPr>
        <w:t xml:space="preserve">3. If an insurance company acts unreasonably in refusing to settle for policy limits, but later tenders those limits, the damages incurred by the insured after the tender of limits that were not caused by the insurer’s conduct are not recoverable. However, the insurer may be liable for damages incurred after the policy limits have been tendered, if the refusal to accept the tender could reasonably be viewed as a natural and probable consequence of the earlier unreasonable conduct of the insurer. </w:t>
      </w:r>
      <w:r w:rsidRPr="00D72662">
        <w:rPr>
          <w:rFonts w:eastAsia="Times New Roman"/>
          <w:b/>
          <w:sz w:val="24"/>
          <w:szCs w:val="24"/>
        </w:rPr>
        <w:t>Bernhard</w:t>
      </w:r>
      <w:r w:rsidRPr="00D72662">
        <w:rPr>
          <w:rFonts w:eastAsia="Times New Roman"/>
          <w:sz w:val="24"/>
          <w:szCs w:val="24"/>
        </w:rPr>
        <w:t>,</w:t>
      </w:r>
      <w:r w:rsidRPr="00D72662">
        <w:rPr>
          <w:rFonts w:eastAsia="Times New Roman"/>
          <w:b/>
          <w:sz w:val="24"/>
          <w:szCs w:val="24"/>
        </w:rPr>
        <w:t xml:space="preserve"> </w:t>
      </w:r>
      <w:r w:rsidRPr="00D72662">
        <w:rPr>
          <w:rFonts w:eastAsia="Times New Roman"/>
          <w:sz w:val="24"/>
          <w:szCs w:val="24"/>
        </w:rPr>
        <w:t>885 P.2d at 270.</w:t>
      </w:r>
    </w:p>
    <w:p w14:paraId="48682076" w14:textId="77777777" w:rsidR="00D72662" w:rsidRPr="00D72662" w:rsidRDefault="00D72662" w:rsidP="00D72662">
      <w:pPr>
        <w:spacing w:after="240"/>
        <w:ind w:firstLine="720"/>
        <w:rPr>
          <w:rFonts w:eastAsia="Times New Roman"/>
          <w:sz w:val="24"/>
          <w:szCs w:val="24"/>
        </w:rPr>
      </w:pPr>
      <w:r w:rsidRPr="00D72662">
        <w:rPr>
          <w:rFonts w:eastAsia="Times New Roman"/>
          <w:sz w:val="24"/>
          <w:szCs w:val="24"/>
        </w:rPr>
        <w:t xml:space="preserve">4. In determining economic damages under this instruction, the jury may consider the benefits the insured should have received under the policy, and this consideration is proper even in cases where the insured’s claim for breach of contract is time-barred. </w:t>
      </w:r>
      <w:r w:rsidRPr="00D72662">
        <w:rPr>
          <w:rFonts w:eastAsia="Times New Roman"/>
          <w:b/>
          <w:sz w:val="24"/>
          <w:szCs w:val="24"/>
        </w:rPr>
        <w:t>Herod</w:t>
      </w:r>
      <w:r w:rsidRPr="00D72662">
        <w:rPr>
          <w:rFonts w:eastAsia="Times New Roman"/>
          <w:sz w:val="24"/>
          <w:szCs w:val="24"/>
        </w:rPr>
        <w:t>, 928 P.2d at 837 (“[M]erely because the damages for bad faith breach may have been the same as those for breach of contract does not mean that the jury’s award was improper.”).</w:t>
      </w:r>
    </w:p>
    <w:p w14:paraId="5DB2367E" w14:textId="77777777" w:rsidR="00D72662" w:rsidRPr="00D72662" w:rsidRDefault="00D72662" w:rsidP="00D72662">
      <w:pPr>
        <w:spacing w:after="240"/>
        <w:ind w:firstLine="720"/>
        <w:rPr>
          <w:rFonts w:eastAsia="Times New Roman"/>
          <w:sz w:val="24"/>
          <w:szCs w:val="24"/>
        </w:rPr>
      </w:pPr>
      <w:r w:rsidRPr="00D72662">
        <w:rPr>
          <w:rFonts w:eastAsia="Times New Roman"/>
          <w:sz w:val="24"/>
          <w:szCs w:val="24"/>
        </w:rPr>
        <w:t xml:space="preserve">5. Economic damages need not be ascertainable by arithmetic formula but may be an approximation if the record shows that the fact of damages is certain and provides some evidence that allows the jury to reasonably estimate damages. </w:t>
      </w:r>
      <w:r w:rsidRPr="00D72662">
        <w:rPr>
          <w:rFonts w:eastAsia="Times New Roman"/>
          <w:b/>
          <w:sz w:val="24"/>
          <w:szCs w:val="24"/>
        </w:rPr>
        <w:t>Schuessler v. Wolter</w:t>
      </w:r>
      <w:r w:rsidRPr="00D72662">
        <w:rPr>
          <w:rFonts w:eastAsia="Times New Roman"/>
          <w:sz w:val="24"/>
          <w:szCs w:val="24"/>
        </w:rPr>
        <w:t>,</w:t>
      </w:r>
      <w:r w:rsidRPr="00D72662">
        <w:rPr>
          <w:rFonts w:eastAsia="Times New Roman"/>
          <w:b/>
          <w:sz w:val="24"/>
          <w:szCs w:val="24"/>
        </w:rPr>
        <w:t xml:space="preserve"> </w:t>
      </w:r>
      <w:r w:rsidRPr="00D72662">
        <w:rPr>
          <w:rFonts w:eastAsia="Times New Roman"/>
          <w:sz w:val="24"/>
          <w:szCs w:val="24"/>
        </w:rPr>
        <w:t xml:space="preserve">2012 COA 86, ¶¶ 48-57, 310 P.3d 151 (refusal to grant new trial based on sufficiency of plaintiff’s damages). </w:t>
      </w:r>
    </w:p>
    <w:p w14:paraId="18E161A2" w14:textId="77777777" w:rsidR="00D72662" w:rsidRPr="00D72662" w:rsidRDefault="00D72662" w:rsidP="00D72662">
      <w:pPr>
        <w:spacing w:after="240"/>
        <w:ind w:firstLine="720"/>
        <w:rPr>
          <w:rFonts w:eastAsia="Times New Roman"/>
          <w:sz w:val="24"/>
          <w:szCs w:val="24"/>
        </w:rPr>
      </w:pPr>
      <w:r w:rsidRPr="00D72662">
        <w:rPr>
          <w:rFonts w:eastAsia="Times New Roman"/>
          <w:sz w:val="24"/>
          <w:szCs w:val="24"/>
        </w:rPr>
        <w:t xml:space="preserve">6. Prejudgment interest is a form of compensatory damages and, unless the policy states otherwise, is subject to a liability policy’s indemnity limits. </w:t>
      </w:r>
      <w:r w:rsidRPr="00D72662">
        <w:rPr>
          <w:rFonts w:eastAsia="Times New Roman"/>
          <w:b/>
          <w:sz w:val="24"/>
          <w:szCs w:val="24"/>
        </w:rPr>
        <w:t>Old Republic Ins. Co. v. Ross</w:t>
      </w:r>
      <w:r w:rsidRPr="00D72662">
        <w:rPr>
          <w:rFonts w:eastAsia="Times New Roman"/>
          <w:sz w:val="24"/>
          <w:szCs w:val="24"/>
        </w:rPr>
        <w:t>, 180 P.3d 427 (Colo. 2008) (citing</w:t>
      </w:r>
      <w:r w:rsidRPr="00D72662">
        <w:rPr>
          <w:rFonts w:eastAsia="Times New Roman"/>
          <w:i/>
          <w:sz w:val="24"/>
          <w:szCs w:val="24"/>
        </w:rPr>
        <w:t xml:space="preserve"> </w:t>
      </w:r>
      <w:r w:rsidRPr="00D72662">
        <w:rPr>
          <w:rFonts w:eastAsia="Times New Roman"/>
          <w:b/>
          <w:sz w:val="24"/>
          <w:szCs w:val="24"/>
        </w:rPr>
        <w:t>Allstate Ins. Co. v. Starke</w:t>
      </w:r>
      <w:r w:rsidRPr="00D72662">
        <w:rPr>
          <w:rFonts w:eastAsia="Times New Roman"/>
          <w:sz w:val="24"/>
          <w:szCs w:val="24"/>
        </w:rPr>
        <w:t xml:space="preserve">, 797 P.2d 14 (Colo. 1990)). In a bad faith breach of contract action against a liability insurer, however, prejudgment interest is not subject to limits because “the insurer cannot use [the insurance] contract to shield itself from liability for its own wrongdoing.” </w:t>
      </w:r>
      <w:r w:rsidRPr="00D72662">
        <w:rPr>
          <w:rFonts w:eastAsia="Times New Roman"/>
          <w:b/>
          <w:sz w:val="24"/>
          <w:szCs w:val="24"/>
        </w:rPr>
        <w:t>Ross</w:t>
      </w:r>
      <w:r w:rsidRPr="00D72662">
        <w:rPr>
          <w:rFonts w:eastAsia="Times New Roman"/>
          <w:sz w:val="24"/>
          <w:szCs w:val="24"/>
        </w:rPr>
        <w:t>, 180 P.2d at 437.</w:t>
      </w:r>
    </w:p>
    <w:p w14:paraId="196B3FDF" w14:textId="1C8F3E66" w:rsidR="00D72662" w:rsidRPr="00D72662" w:rsidRDefault="00D72662" w:rsidP="00D72662">
      <w:pPr>
        <w:spacing w:after="240"/>
        <w:ind w:firstLine="720"/>
        <w:rPr>
          <w:rFonts w:eastAsia="Times New Roman"/>
          <w:sz w:val="24"/>
          <w:szCs w:val="24"/>
        </w:rPr>
      </w:pPr>
      <w:r w:rsidRPr="00D72662">
        <w:rPr>
          <w:rFonts w:eastAsia="Times New Roman"/>
          <w:sz w:val="24"/>
          <w:szCs w:val="24"/>
        </w:rPr>
        <w:t xml:space="preserve">7. In assessing prejudgment interest for contractual benefits wrongfully delayed or denied, the wrongful withholding interest statute, § 5-12-102(1)(a), C.R.S., not the personal injury interest statute, §13-21-101, C.R.S., is to be applied. </w:t>
      </w:r>
      <w:r w:rsidRPr="00D72662">
        <w:rPr>
          <w:rFonts w:eastAsia="Times New Roman"/>
          <w:b/>
          <w:sz w:val="24"/>
          <w:szCs w:val="24"/>
        </w:rPr>
        <w:t>Schuessler</w:t>
      </w:r>
      <w:r w:rsidRPr="00D72662">
        <w:rPr>
          <w:rFonts w:eastAsia="Times New Roman"/>
          <w:sz w:val="24"/>
          <w:szCs w:val="24"/>
        </w:rPr>
        <w:t>, ¶ 102</w:t>
      </w:r>
      <w:r w:rsidR="007571AF">
        <w:rPr>
          <w:rFonts w:eastAsia="Times New Roman"/>
          <w:sz w:val="24"/>
          <w:szCs w:val="24"/>
        </w:rPr>
        <w:t>, 310 P.3d at 168</w:t>
      </w:r>
      <w:r w:rsidRPr="00D72662">
        <w:rPr>
          <w:rFonts w:eastAsia="Times New Roman"/>
          <w:sz w:val="24"/>
          <w:szCs w:val="24"/>
        </w:rPr>
        <w:t xml:space="preserve">; </w:t>
      </w:r>
      <w:r w:rsidRPr="00D72662">
        <w:rPr>
          <w:rFonts w:eastAsia="Times New Roman"/>
          <w:i/>
          <w:sz w:val="24"/>
          <w:szCs w:val="24"/>
        </w:rPr>
        <w:t>cf.</w:t>
      </w:r>
      <w:r w:rsidRPr="00D72662">
        <w:rPr>
          <w:rFonts w:eastAsia="Times New Roman"/>
          <w:sz w:val="24"/>
          <w:szCs w:val="24"/>
        </w:rPr>
        <w:t xml:space="preserve"> </w:t>
      </w:r>
      <w:r w:rsidRPr="00D72662">
        <w:rPr>
          <w:rFonts w:eastAsia="Times New Roman"/>
          <w:b/>
          <w:sz w:val="24"/>
          <w:szCs w:val="24"/>
        </w:rPr>
        <w:t>USAA v.</w:t>
      </w:r>
      <w:r w:rsidRPr="00D72662">
        <w:rPr>
          <w:rFonts w:eastAsia="Times New Roman"/>
          <w:sz w:val="24"/>
          <w:szCs w:val="24"/>
        </w:rPr>
        <w:t xml:space="preserve"> </w:t>
      </w:r>
      <w:r w:rsidRPr="00D72662">
        <w:rPr>
          <w:rFonts w:eastAsia="Times New Roman"/>
          <w:b/>
          <w:sz w:val="24"/>
          <w:szCs w:val="24"/>
        </w:rPr>
        <w:t>Parker</w:t>
      </w:r>
      <w:r w:rsidRPr="00D72662">
        <w:rPr>
          <w:rFonts w:eastAsia="Times New Roman"/>
          <w:sz w:val="24"/>
          <w:szCs w:val="24"/>
        </w:rPr>
        <w:t>, 200 P.3d 350 (Colo. 2009) (Court held that a claim for UIM benefits is premised on a claim for bodily injury and sounds in tort, not contract. Therefore, the proper prejudgment interest rate to be applied to recovery in the form of UIM benefits is that provided for personal injury recoveries in section 13-21-101 (nine percent per annum).).</w:t>
      </w:r>
    </w:p>
    <w:p w14:paraId="427E1472" w14:textId="77777777" w:rsidR="00D72662" w:rsidRPr="00D72662" w:rsidRDefault="00D72662" w:rsidP="00D72662">
      <w:pPr>
        <w:spacing w:after="240"/>
        <w:ind w:firstLine="720"/>
        <w:rPr>
          <w:rFonts w:eastAsia="Times New Roman"/>
          <w:sz w:val="24"/>
          <w:szCs w:val="24"/>
        </w:rPr>
      </w:pPr>
      <w:r w:rsidRPr="00D72662">
        <w:rPr>
          <w:rFonts w:eastAsia="Times New Roman"/>
          <w:sz w:val="24"/>
          <w:szCs w:val="24"/>
        </w:rPr>
        <w:t>8. Where an insurer’s conduct is proven to constitute a deceptive practice in violation of the Colorado Consumer Protection Act (CCPA), attorney fees may be recovered, § 6-1-</w:t>
      </w:r>
      <w:r w:rsidRPr="00D72662">
        <w:rPr>
          <w:rFonts w:eastAsia="Times New Roman"/>
          <w:sz w:val="24"/>
          <w:szCs w:val="24"/>
        </w:rPr>
        <w:lastRenderedPageBreak/>
        <w:t xml:space="preserve">113(2)(b), C.R.S., and if “bad faith conduct” is established by clear and convincing evidence, treble damages may also be awarded. § 6-1-113(2). The CCPA defines “bad faith conduct” as “fraudulent, willful, knowing, or intentional conduct that causes injury.” § 6-1-113(2.3). </w:t>
      </w:r>
      <w:r w:rsidRPr="00D72662">
        <w:rPr>
          <w:rFonts w:eastAsia="Times New Roman"/>
          <w:b/>
          <w:sz w:val="24"/>
          <w:szCs w:val="24"/>
        </w:rPr>
        <w:t>Showpiece Homes Corp. v. Assurance Co. of Am.</w:t>
      </w:r>
      <w:r w:rsidRPr="00D72662">
        <w:rPr>
          <w:rFonts w:eastAsia="Times New Roman"/>
          <w:sz w:val="24"/>
          <w:szCs w:val="24"/>
        </w:rPr>
        <w:t>,</w:t>
      </w:r>
      <w:r w:rsidRPr="00D72662">
        <w:rPr>
          <w:rFonts w:eastAsia="Times New Roman"/>
          <w:b/>
          <w:sz w:val="24"/>
          <w:szCs w:val="24"/>
        </w:rPr>
        <w:t xml:space="preserve"> </w:t>
      </w:r>
      <w:r w:rsidRPr="00D72662">
        <w:rPr>
          <w:rFonts w:eastAsia="Times New Roman"/>
          <w:sz w:val="24"/>
          <w:szCs w:val="24"/>
        </w:rPr>
        <w:t xml:space="preserve">38 P.3d 47 (Colo. 2001) (CCPA applies to sale of insurance and to post-sale bad faith handling of an insured’s claims). In </w:t>
      </w:r>
      <w:r w:rsidRPr="00D72662">
        <w:rPr>
          <w:rFonts w:eastAsia="Times New Roman"/>
          <w:b/>
          <w:sz w:val="24"/>
          <w:szCs w:val="24"/>
        </w:rPr>
        <w:t>Coors v. Security Life of Denver Insurance Co.</w:t>
      </w:r>
      <w:r w:rsidRPr="00D72662">
        <w:rPr>
          <w:rFonts w:eastAsia="Times New Roman"/>
          <w:sz w:val="24"/>
          <w:szCs w:val="24"/>
        </w:rPr>
        <w:t xml:space="preserve">, 91 P.3d 393 (Colo. App. 2003), </w:t>
      </w:r>
      <w:r w:rsidRPr="00D72662">
        <w:rPr>
          <w:rFonts w:eastAsia="Times New Roman"/>
          <w:i/>
          <w:sz w:val="24"/>
          <w:szCs w:val="24"/>
        </w:rPr>
        <w:t>aff’d in part, rev’d in part on other grounds</w:t>
      </w:r>
      <w:r w:rsidRPr="00D72662">
        <w:rPr>
          <w:rFonts w:eastAsia="Times New Roman"/>
          <w:sz w:val="24"/>
          <w:szCs w:val="24"/>
        </w:rPr>
        <w:t xml:space="preserve">, 112 P.3d 59 (Colo. 2005), the court of appeals stated that </w:t>
      </w:r>
      <w:r w:rsidRPr="00D72662">
        <w:rPr>
          <w:rFonts w:eastAsia="Times New Roman"/>
          <w:b/>
          <w:sz w:val="24"/>
          <w:szCs w:val="24"/>
        </w:rPr>
        <w:t>Showpiece Homes</w:t>
      </w:r>
      <w:r w:rsidRPr="00D72662">
        <w:rPr>
          <w:rFonts w:eastAsia="Times New Roman"/>
          <w:sz w:val="24"/>
          <w:szCs w:val="24"/>
        </w:rPr>
        <w:t xml:space="preserve"> does not eliminate the requirement that plaintiff must establish defendant’s conduct constitutes a deceptive trade practice as identified in section 6-1-105, C.R.S., and also that a violation of the Unfair Claims-Deceptive Practices Act does not constitute, per se, a violation of the CCPA. However, simply asserting that an insurer acted in bad faith will not justify proceeding on a CCPA claim, because showing bad faith does not fulfill the element of significant public impact, which is one of the required elements of a CCPA claim.</w:t>
      </w:r>
      <w:r w:rsidRPr="00D72662" w:rsidDel="0027477F">
        <w:rPr>
          <w:rFonts w:eastAsia="Times New Roman"/>
          <w:sz w:val="24"/>
          <w:szCs w:val="24"/>
        </w:rPr>
        <w:t xml:space="preserve"> </w:t>
      </w:r>
      <w:r w:rsidRPr="00D72662">
        <w:rPr>
          <w:rFonts w:eastAsia="Times New Roman"/>
          <w:b/>
          <w:sz w:val="24"/>
          <w:szCs w:val="24"/>
        </w:rPr>
        <w:t>Bankruptcy Estate of Morris v. COPIC Ins. Co.</w:t>
      </w:r>
      <w:r w:rsidRPr="00D72662">
        <w:rPr>
          <w:rFonts w:eastAsia="Times New Roman"/>
          <w:sz w:val="24"/>
          <w:szCs w:val="24"/>
        </w:rPr>
        <w:t xml:space="preserve">, 192 P.3d 519 (Colo. App. 2008); </w:t>
      </w:r>
      <w:r w:rsidRPr="00EA097A">
        <w:rPr>
          <w:rFonts w:eastAsia="Times New Roman"/>
          <w:i/>
          <w:sz w:val="24"/>
          <w:szCs w:val="24"/>
        </w:rPr>
        <w:t>see also</w:t>
      </w:r>
      <w:r w:rsidRPr="00D72662">
        <w:rPr>
          <w:rFonts w:eastAsia="Times New Roman"/>
          <w:sz w:val="24"/>
          <w:szCs w:val="24"/>
        </w:rPr>
        <w:t xml:space="preserve"> Chapter 29 &amp; Instruction 29:4.</w:t>
      </w:r>
    </w:p>
    <w:p w14:paraId="79E3295C" w14:textId="77777777" w:rsidR="00D72662" w:rsidRPr="00D72662" w:rsidRDefault="00D72662" w:rsidP="00D72662">
      <w:pPr>
        <w:spacing w:after="240"/>
        <w:ind w:firstLine="720"/>
        <w:rPr>
          <w:rFonts w:eastAsia="Times New Roman"/>
          <w:sz w:val="24"/>
          <w:szCs w:val="24"/>
        </w:rPr>
      </w:pPr>
      <w:r w:rsidRPr="00D72662">
        <w:rPr>
          <w:rFonts w:eastAsia="Times New Roman"/>
          <w:sz w:val="24"/>
          <w:szCs w:val="24"/>
        </w:rPr>
        <w:t xml:space="preserve">9. As noted in </w:t>
      </w:r>
      <w:r w:rsidRPr="00D72662">
        <w:rPr>
          <w:rFonts w:eastAsia="Times New Roman"/>
          <w:b/>
          <w:sz w:val="24"/>
          <w:szCs w:val="24"/>
        </w:rPr>
        <w:t>Goodson v. American Standard Insurance Co.</w:t>
      </w:r>
      <w:r w:rsidRPr="00D72662">
        <w:rPr>
          <w:rFonts w:eastAsia="Times New Roman"/>
          <w:sz w:val="24"/>
          <w:szCs w:val="24"/>
        </w:rPr>
        <w:t xml:space="preserve">, 89 P.3d 409 (Colo. 2004), noneconomic damages enumerated in section 13-21-102.5(2)(b), C.R.S. (i.e., emotional distress, pain and suffering, inconvenience, fear and anxiety, and impairment of the quality of life) are recoverable for an insurer’s bad faith breach of insurance contract without proof of any accompanying substantial financial or property loss. </w:t>
      </w:r>
      <w:r w:rsidRPr="00D72662">
        <w:rPr>
          <w:rFonts w:eastAsia="Times New Roman"/>
          <w:b/>
          <w:sz w:val="24"/>
          <w:szCs w:val="24"/>
        </w:rPr>
        <w:t>Goodson</w:t>
      </w:r>
      <w:r w:rsidRPr="00D72662">
        <w:rPr>
          <w:rFonts w:eastAsia="Times New Roman"/>
          <w:sz w:val="24"/>
          <w:szCs w:val="24"/>
        </w:rPr>
        <w:t>,</w:t>
      </w:r>
      <w:r w:rsidRPr="00D72662">
        <w:rPr>
          <w:rFonts w:eastAsia="Times New Roman"/>
          <w:b/>
          <w:sz w:val="24"/>
          <w:szCs w:val="24"/>
        </w:rPr>
        <w:t xml:space="preserve"> </w:t>
      </w:r>
      <w:r w:rsidRPr="00D72662">
        <w:rPr>
          <w:rFonts w:eastAsia="Times New Roman"/>
          <w:sz w:val="24"/>
          <w:szCs w:val="24"/>
        </w:rPr>
        <w:t xml:space="preserve">89 P.3d at 416-17 (overruling in part </w:t>
      </w:r>
      <w:r w:rsidRPr="00D72662">
        <w:rPr>
          <w:rFonts w:eastAsia="Times New Roman"/>
          <w:b/>
          <w:sz w:val="24"/>
          <w:szCs w:val="24"/>
        </w:rPr>
        <w:t>Farmers Group, Inc. v. Trimble</w:t>
      </w:r>
      <w:r w:rsidRPr="00D72662">
        <w:rPr>
          <w:rFonts w:eastAsia="Times New Roman"/>
          <w:sz w:val="24"/>
          <w:szCs w:val="24"/>
        </w:rPr>
        <w:t>, 768 P.2d 1243 (Colo. App. 1988)).</w:t>
      </w:r>
    </w:p>
    <w:p w14:paraId="1AB6A75C" w14:textId="77777777" w:rsidR="00D72662" w:rsidRPr="00D72662" w:rsidRDefault="00D72662" w:rsidP="00D72662">
      <w:pPr>
        <w:spacing w:after="240"/>
        <w:ind w:firstLine="720"/>
        <w:rPr>
          <w:rFonts w:eastAsia="Times New Roman"/>
          <w:sz w:val="24"/>
          <w:szCs w:val="24"/>
        </w:rPr>
      </w:pPr>
      <w:r w:rsidRPr="00D72662">
        <w:rPr>
          <w:rFonts w:eastAsia="Times New Roman"/>
          <w:sz w:val="24"/>
          <w:szCs w:val="24"/>
        </w:rPr>
        <w:t xml:space="preserve">10. Section 13-15-111.5, C.R.S., “requires apportionment of liability among negligent and intentional tortfeasors who contributed to an indivisible injury . . . .” </w:t>
      </w:r>
      <w:r w:rsidRPr="00D72662">
        <w:rPr>
          <w:rFonts w:eastAsia="Times New Roman"/>
          <w:b/>
          <w:sz w:val="24"/>
          <w:szCs w:val="24"/>
        </w:rPr>
        <w:t>Slack v. Farmers Ins. Exch.</w:t>
      </w:r>
      <w:r w:rsidRPr="00D72662">
        <w:rPr>
          <w:rFonts w:eastAsia="Times New Roman"/>
          <w:sz w:val="24"/>
          <w:szCs w:val="24"/>
        </w:rPr>
        <w:t>, 5 P.3d 280, 282 (Colo. 2000) (PIP insurer, against whom claims for negligence and bad faith were stated based upon negligent referral of claimant to an IME examiner who sexually assaulted claimant, permitted to designate examiner as nonparty at fault).</w:t>
      </w:r>
    </w:p>
    <w:p w14:paraId="6C3F2E7D" w14:textId="77777777" w:rsidR="00D72662" w:rsidRPr="00D72662" w:rsidRDefault="00D72662" w:rsidP="00D72662">
      <w:pPr>
        <w:spacing w:after="240"/>
        <w:ind w:firstLine="720"/>
        <w:rPr>
          <w:rFonts w:eastAsia="Times New Roman"/>
          <w:sz w:val="24"/>
          <w:szCs w:val="24"/>
        </w:rPr>
      </w:pPr>
      <w:r w:rsidRPr="00D72662">
        <w:rPr>
          <w:rFonts w:eastAsia="Times New Roman"/>
          <w:sz w:val="24"/>
          <w:szCs w:val="24"/>
        </w:rPr>
        <w:t xml:space="preserve">11. Attorney fees are recoverable as damages for common-law bad faith breach of insurance contract only when those fees are a wrongfully denied benefit of the insurance contract itself (e.g., fees incurred as a result of a liability insurer’s refusal to provide a defense); but fees incurred in prosecuting a bad faith tort action are not recoverable. </w:t>
      </w:r>
      <w:r w:rsidRPr="00D72662">
        <w:rPr>
          <w:rFonts w:eastAsia="Times New Roman"/>
          <w:b/>
          <w:sz w:val="24"/>
          <w:szCs w:val="24"/>
        </w:rPr>
        <w:t>Bernhard v. Farmers Ins. Exch.</w:t>
      </w:r>
      <w:r w:rsidRPr="00D72662">
        <w:rPr>
          <w:rFonts w:eastAsia="Times New Roman"/>
          <w:sz w:val="24"/>
          <w:szCs w:val="24"/>
        </w:rPr>
        <w:t>,</w:t>
      </w:r>
      <w:r w:rsidRPr="00D72662">
        <w:rPr>
          <w:rFonts w:eastAsia="Times New Roman"/>
          <w:b/>
          <w:sz w:val="24"/>
          <w:szCs w:val="24"/>
        </w:rPr>
        <w:t xml:space="preserve"> </w:t>
      </w:r>
      <w:r w:rsidRPr="00D72662">
        <w:rPr>
          <w:rFonts w:eastAsia="Times New Roman"/>
          <w:sz w:val="24"/>
          <w:szCs w:val="24"/>
        </w:rPr>
        <w:t>915 P.2d 1285 (Colo. 1996) (disapproving of</w:t>
      </w:r>
      <w:r w:rsidRPr="00D72662">
        <w:rPr>
          <w:rFonts w:eastAsia="Times New Roman"/>
          <w:i/>
          <w:sz w:val="24"/>
          <w:szCs w:val="24"/>
        </w:rPr>
        <w:t xml:space="preserve"> </w:t>
      </w:r>
      <w:r w:rsidRPr="00D72662">
        <w:rPr>
          <w:rFonts w:eastAsia="Times New Roman"/>
          <w:b/>
          <w:sz w:val="24"/>
          <w:szCs w:val="24"/>
        </w:rPr>
        <w:t>Trimble</w:t>
      </w:r>
      <w:r w:rsidRPr="00D72662">
        <w:rPr>
          <w:rFonts w:eastAsia="Times New Roman"/>
          <w:sz w:val="24"/>
          <w:szCs w:val="24"/>
        </w:rPr>
        <w:t xml:space="preserve">, 768 P.2d at 1246, insofar as it allowed recovery of attorney fees incurred in obtaining benefits tortiously withheld). </w:t>
      </w:r>
    </w:p>
    <w:p w14:paraId="4EE768D8" w14:textId="77777777" w:rsidR="00EA097A" w:rsidRDefault="00EA097A">
      <w:pPr>
        <w:rPr>
          <w:rFonts w:eastAsia="Times New Roman"/>
          <w:sz w:val="24"/>
          <w:szCs w:val="24"/>
        </w:rPr>
      </w:pPr>
      <w:r>
        <w:rPr>
          <w:rFonts w:eastAsia="Times New Roman"/>
          <w:sz w:val="24"/>
          <w:szCs w:val="24"/>
        </w:rPr>
        <w:br w:type="page"/>
      </w:r>
    </w:p>
    <w:p w14:paraId="1EAE14FE" w14:textId="77777777" w:rsidR="00EA097A" w:rsidRPr="009E3DA4" w:rsidRDefault="00A038A6" w:rsidP="00EA097A">
      <w:pPr>
        <w:spacing w:after="240"/>
        <w:ind w:left="720" w:hanging="720"/>
        <w:rPr>
          <w:rFonts w:eastAsia="Times New Roman"/>
          <w:b/>
          <w:sz w:val="24"/>
          <w:szCs w:val="24"/>
        </w:rPr>
      </w:pPr>
      <w:bookmarkStart w:id="10" w:name="a25_10"/>
      <w:bookmarkEnd w:id="10"/>
      <w:r w:rsidRPr="00A038A6">
        <w:rPr>
          <w:rFonts w:eastAsia="Times New Roman"/>
          <w:b/>
          <w:sz w:val="24"/>
          <w:szCs w:val="24"/>
        </w:rPr>
        <w:lastRenderedPageBreak/>
        <w:t>25:10</w:t>
      </w:r>
      <w:r w:rsidRPr="00A038A6">
        <w:rPr>
          <w:rFonts w:eastAsia="Times New Roman"/>
          <w:b/>
          <w:sz w:val="24"/>
          <w:szCs w:val="24"/>
        </w:rPr>
        <w:tab/>
        <w:t>BENEFIT AMOUNT — FIRST-PARTY STATUTORY CLAIMS</w:t>
      </w:r>
    </w:p>
    <w:p w14:paraId="176804AE" w14:textId="4414A859" w:rsidR="00A038A6" w:rsidRPr="00A038A6" w:rsidRDefault="00A038A6" w:rsidP="00A038A6">
      <w:pPr>
        <w:spacing w:after="240"/>
        <w:ind w:firstLine="720"/>
        <w:rPr>
          <w:rFonts w:eastAsia="Times New Roman"/>
          <w:b/>
          <w:sz w:val="24"/>
          <w:szCs w:val="24"/>
        </w:rPr>
      </w:pPr>
      <w:r w:rsidRPr="00A038A6">
        <w:rPr>
          <w:rFonts w:eastAsia="Times New Roman"/>
          <w:b/>
          <w:sz w:val="24"/>
          <w:szCs w:val="24"/>
        </w:rPr>
        <w:t xml:space="preserve">Plaintiff, </w:t>
      </w:r>
      <w:r w:rsidRPr="00A038A6">
        <w:rPr>
          <w:rFonts w:eastAsia="Times New Roman"/>
          <w:i/>
          <w:sz w:val="24"/>
          <w:szCs w:val="24"/>
        </w:rPr>
        <w:t>(name)</w:t>
      </w:r>
      <w:r w:rsidRPr="00A038A6">
        <w:rPr>
          <w:rFonts w:eastAsia="Times New Roman"/>
          <w:b/>
          <w:sz w:val="24"/>
          <w:szCs w:val="24"/>
        </w:rPr>
        <w:t xml:space="preserve">, has the burden of proving, by a preponderance of the evidence, the extent of </w:t>
      </w:r>
      <w:r w:rsidR="00371D9F" w:rsidRPr="00D8019D">
        <w:rPr>
          <w:rFonts w:eastAsia="Times New Roman"/>
          <w:bCs/>
          <w:i/>
          <w:iCs/>
          <w:sz w:val="24"/>
          <w:szCs w:val="24"/>
        </w:rPr>
        <w:t>(insert applicable pronoun)</w:t>
      </w:r>
      <w:r w:rsidRPr="00A038A6">
        <w:rPr>
          <w:rFonts w:eastAsia="Times New Roman"/>
          <w:b/>
          <w:sz w:val="24"/>
          <w:szCs w:val="24"/>
        </w:rPr>
        <w:t xml:space="preserve"> benefits that were improperly (delayed) (denied). If you find in favor of the plaintiff on </w:t>
      </w:r>
      <w:r w:rsidR="00371D9F" w:rsidRPr="00D8019D">
        <w:rPr>
          <w:rFonts w:eastAsia="Times New Roman"/>
          <w:bCs/>
          <w:i/>
          <w:iCs/>
          <w:sz w:val="24"/>
          <w:szCs w:val="24"/>
        </w:rPr>
        <w:t>(insert applicable pronoun)</w:t>
      </w:r>
      <w:r w:rsidRPr="00A038A6">
        <w:rPr>
          <w:rFonts w:eastAsia="Times New Roman"/>
          <w:b/>
          <w:sz w:val="24"/>
          <w:szCs w:val="24"/>
        </w:rPr>
        <w:t xml:space="preserve"> claim under Instruction No. __ </w:t>
      </w:r>
      <w:r w:rsidRPr="00A038A6">
        <w:rPr>
          <w:rFonts w:eastAsia="Times New Roman"/>
          <w:sz w:val="24"/>
          <w:szCs w:val="24"/>
        </w:rPr>
        <w:t>(</w:t>
      </w:r>
      <w:r w:rsidRPr="00A038A6">
        <w:rPr>
          <w:rFonts w:eastAsia="Times New Roman"/>
          <w:i/>
          <w:sz w:val="24"/>
          <w:szCs w:val="24"/>
        </w:rPr>
        <w:t>insert number of instruction corresponding to Instruction 25:4</w:t>
      </w:r>
      <w:r w:rsidRPr="00A038A6">
        <w:rPr>
          <w:rFonts w:eastAsia="Times New Roman"/>
          <w:sz w:val="24"/>
          <w:szCs w:val="24"/>
        </w:rPr>
        <w:t>)</w:t>
      </w:r>
      <w:r w:rsidRPr="00A038A6">
        <w:rPr>
          <w:rFonts w:eastAsia="Times New Roman"/>
          <w:b/>
          <w:sz w:val="24"/>
          <w:szCs w:val="24"/>
        </w:rPr>
        <w:t>, you must determine the total dollar amount of the benefits for which payment was (delayed)</w:t>
      </w:r>
      <w:r w:rsidRPr="00A038A6" w:rsidDel="00A442BB">
        <w:rPr>
          <w:rFonts w:eastAsia="Times New Roman"/>
          <w:b/>
          <w:sz w:val="24"/>
          <w:szCs w:val="24"/>
        </w:rPr>
        <w:t xml:space="preserve"> </w:t>
      </w:r>
      <w:r w:rsidRPr="00A038A6">
        <w:rPr>
          <w:rFonts w:eastAsia="Times New Roman"/>
          <w:b/>
          <w:sz w:val="24"/>
          <w:szCs w:val="24"/>
        </w:rPr>
        <w:t xml:space="preserve">(denied) without a reasonable basis. </w:t>
      </w:r>
    </w:p>
    <w:p w14:paraId="0C8847BA" w14:textId="77777777" w:rsidR="00EA097A" w:rsidRDefault="00EA097A" w:rsidP="00EA097A">
      <w:pPr>
        <w:jc w:val="center"/>
        <w:rPr>
          <w:rFonts w:eastAsia="Times New Roman"/>
          <w:sz w:val="24"/>
          <w:szCs w:val="24"/>
        </w:rPr>
      </w:pPr>
    </w:p>
    <w:p w14:paraId="63346D1B" w14:textId="77777777" w:rsidR="00EA097A" w:rsidRPr="0054263B" w:rsidRDefault="00EA097A" w:rsidP="00EA097A">
      <w:pPr>
        <w:keepNext/>
        <w:spacing w:after="240"/>
        <w:jc w:val="center"/>
        <w:rPr>
          <w:rFonts w:eastAsia="Times New Roman"/>
          <w:b/>
          <w:sz w:val="24"/>
          <w:szCs w:val="24"/>
        </w:rPr>
      </w:pPr>
      <w:r w:rsidRPr="0054263B">
        <w:rPr>
          <w:rFonts w:eastAsia="Times New Roman"/>
          <w:b/>
          <w:sz w:val="24"/>
          <w:szCs w:val="24"/>
        </w:rPr>
        <w:t>Notes on Use</w:t>
      </w:r>
    </w:p>
    <w:p w14:paraId="6D4A8A09" w14:textId="77777777" w:rsidR="00A038A6" w:rsidRPr="00A038A6" w:rsidRDefault="00A038A6" w:rsidP="00A038A6">
      <w:pPr>
        <w:spacing w:after="240"/>
        <w:ind w:firstLine="720"/>
        <w:rPr>
          <w:rFonts w:eastAsia="Times New Roman"/>
          <w:sz w:val="24"/>
          <w:szCs w:val="24"/>
        </w:rPr>
      </w:pPr>
      <w:r w:rsidRPr="00A038A6">
        <w:rPr>
          <w:rFonts w:eastAsia="Times New Roman"/>
          <w:sz w:val="24"/>
          <w:szCs w:val="24"/>
        </w:rPr>
        <w:t>1. Use whichever parenthesized or bracketed portions are appropriate.</w:t>
      </w:r>
    </w:p>
    <w:p w14:paraId="5F9E6451" w14:textId="1D766902" w:rsidR="00A038A6" w:rsidRPr="00A038A6" w:rsidRDefault="00A038A6" w:rsidP="00A038A6">
      <w:pPr>
        <w:spacing w:after="240"/>
        <w:ind w:firstLine="720"/>
        <w:rPr>
          <w:rFonts w:eastAsia="Times New Roman"/>
          <w:sz w:val="24"/>
          <w:szCs w:val="24"/>
        </w:rPr>
      </w:pPr>
      <w:r w:rsidRPr="00A038A6">
        <w:rPr>
          <w:rFonts w:eastAsia="Times New Roman"/>
          <w:sz w:val="24"/>
          <w:szCs w:val="24"/>
        </w:rPr>
        <w:t xml:space="preserve">2. The remedies provided by section 10-3-1116(1), C.R.S., include “reasonable attorney fees and court costs and two times the covered benefit,” both of which are imposed as statutory damages by the court post-trial. </w:t>
      </w:r>
      <w:r w:rsidRPr="00A038A6">
        <w:rPr>
          <w:rFonts w:eastAsia="Times New Roman"/>
          <w:b/>
          <w:sz w:val="24"/>
          <w:szCs w:val="24"/>
        </w:rPr>
        <w:t>Hall v. Am. Standard Ins. Co</w:t>
      </w:r>
      <w:r w:rsidRPr="00A038A6">
        <w:rPr>
          <w:rFonts w:eastAsia="Times New Roman"/>
          <w:sz w:val="24"/>
          <w:szCs w:val="24"/>
        </w:rPr>
        <w:t>., 2012 COA 201, ¶ 20, 292 P.3d 1196</w:t>
      </w:r>
      <w:r w:rsidR="00813381">
        <w:rPr>
          <w:rFonts w:eastAsia="Times New Roman"/>
          <w:sz w:val="24"/>
          <w:szCs w:val="24"/>
        </w:rPr>
        <w:t xml:space="preserve">, </w:t>
      </w:r>
      <w:r w:rsidR="00C235FD" w:rsidRPr="00C235FD">
        <w:rPr>
          <w:rFonts w:eastAsia="Times New Roman"/>
          <w:i/>
          <w:iCs/>
          <w:sz w:val="24"/>
          <w:szCs w:val="24"/>
        </w:rPr>
        <w:t xml:space="preserve">partially </w:t>
      </w:r>
      <w:r w:rsidR="00813381" w:rsidRPr="00813381">
        <w:rPr>
          <w:rFonts w:eastAsia="Times New Roman"/>
          <w:i/>
          <w:iCs/>
          <w:sz w:val="24"/>
          <w:szCs w:val="24"/>
        </w:rPr>
        <w:t>overruled on other grounds by</w:t>
      </w:r>
      <w:r w:rsidR="00813381">
        <w:rPr>
          <w:rFonts w:eastAsia="Times New Roman"/>
          <w:sz w:val="24"/>
          <w:szCs w:val="24"/>
        </w:rPr>
        <w:t xml:space="preserve"> </w:t>
      </w:r>
      <w:r w:rsidR="00813381" w:rsidRPr="00813381">
        <w:rPr>
          <w:rFonts w:eastAsia="Times New Roman"/>
          <w:b/>
          <w:bCs/>
          <w:sz w:val="24"/>
          <w:szCs w:val="24"/>
        </w:rPr>
        <w:t>L.H.M. Corp., TCD v. Martinez</w:t>
      </w:r>
      <w:r w:rsidR="00813381" w:rsidRPr="00813381">
        <w:rPr>
          <w:rFonts w:eastAsia="Times New Roman"/>
          <w:sz w:val="24"/>
          <w:szCs w:val="24"/>
        </w:rPr>
        <w:t>, 2021 CO 78, ¶ 24, 499 P.3d 1050</w:t>
      </w:r>
      <w:r w:rsidRPr="00A038A6">
        <w:rPr>
          <w:rFonts w:eastAsia="Times New Roman"/>
          <w:sz w:val="24"/>
          <w:szCs w:val="24"/>
        </w:rPr>
        <w:t>. This instruction asks the jury to determine the amount of the covered benefit for which payment was unreasonably delayed or denied for use by the court in awarding the “two times” statutory damage.</w:t>
      </w:r>
    </w:p>
    <w:p w14:paraId="5A7B6ABD" w14:textId="77777777" w:rsidR="00A038A6" w:rsidRPr="00A038A6" w:rsidRDefault="00A038A6" w:rsidP="00A038A6">
      <w:pPr>
        <w:spacing w:after="240"/>
        <w:ind w:firstLine="720"/>
        <w:rPr>
          <w:rFonts w:eastAsia="Times New Roman"/>
          <w:sz w:val="24"/>
          <w:szCs w:val="24"/>
        </w:rPr>
      </w:pPr>
      <w:r w:rsidRPr="00A038A6">
        <w:rPr>
          <w:rFonts w:eastAsia="Times New Roman"/>
          <w:sz w:val="24"/>
          <w:szCs w:val="24"/>
        </w:rPr>
        <w:t xml:space="preserve">3. This instruction should not be given if the amount of the covered benefit is not disputed. </w:t>
      </w:r>
      <w:r w:rsidRPr="00A038A6">
        <w:rPr>
          <w:rFonts w:eastAsia="Times New Roman"/>
          <w:i/>
          <w:sz w:val="24"/>
          <w:szCs w:val="24"/>
        </w:rPr>
        <w:t xml:space="preserve">See </w:t>
      </w:r>
      <w:r w:rsidRPr="00A038A6">
        <w:rPr>
          <w:rFonts w:eastAsia="Times New Roman"/>
          <w:b/>
          <w:sz w:val="24"/>
          <w:szCs w:val="24"/>
        </w:rPr>
        <w:t>Hansen v. Am. Family Mut. Ins. Co.</w:t>
      </w:r>
      <w:r w:rsidRPr="00A038A6">
        <w:rPr>
          <w:rFonts w:eastAsia="Times New Roman"/>
          <w:sz w:val="24"/>
          <w:szCs w:val="24"/>
        </w:rPr>
        <w:t xml:space="preserve">, 2013 COA 173, ¶ 58, 383 P.3d 28 (affirming judgment for two times covered UIM benefit and attorney fees and costs where the jury found unreasonable delay in payment of the benefit amount paid pursuant to a pretrial settlement), </w:t>
      </w:r>
      <w:r w:rsidRPr="00A038A6">
        <w:rPr>
          <w:rFonts w:eastAsia="Times New Roman"/>
          <w:i/>
          <w:sz w:val="24"/>
          <w:szCs w:val="24"/>
        </w:rPr>
        <w:t>rev’d on other grounds</w:t>
      </w:r>
      <w:r w:rsidRPr="00A038A6">
        <w:rPr>
          <w:rFonts w:eastAsia="Times New Roman"/>
          <w:sz w:val="24"/>
          <w:szCs w:val="24"/>
        </w:rPr>
        <w:t xml:space="preserve">, 2016 CO 46, 375 P.3d 115. </w:t>
      </w:r>
    </w:p>
    <w:p w14:paraId="4BBAC367" w14:textId="77777777" w:rsidR="00EB74DC" w:rsidRDefault="00A038A6" w:rsidP="00A038A6">
      <w:pPr>
        <w:spacing w:after="240"/>
        <w:ind w:firstLine="720"/>
        <w:rPr>
          <w:rFonts w:eastAsia="Times New Roman"/>
          <w:sz w:val="24"/>
          <w:szCs w:val="24"/>
        </w:rPr>
      </w:pPr>
      <w:r w:rsidRPr="00A038A6">
        <w:rPr>
          <w:rFonts w:eastAsia="Times New Roman"/>
          <w:sz w:val="24"/>
          <w:szCs w:val="24"/>
        </w:rPr>
        <w:t>4. Section 10-3-1116(4) provides that “[d]amages awarded pursuant to this section shall not be recoverable in any other action or claim.”</w:t>
      </w:r>
    </w:p>
    <w:p w14:paraId="56E73217" w14:textId="2B84CE56" w:rsidR="00A038A6" w:rsidRDefault="00EB74DC" w:rsidP="00A038A6">
      <w:pPr>
        <w:spacing w:after="240"/>
        <w:ind w:firstLine="720"/>
        <w:rPr>
          <w:rFonts w:eastAsia="Times New Roman"/>
          <w:sz w:val="24"/>
          <w:szCs w:val="24"/>
        </w:rPr>
      </w:pPr>
      <w:r w:rsidRPr="00EB74DC">
        <w:rPr>
          <w:rFonts w:eastAsia="Times New Roman"/>
          <w:sz w:val="24"/>
          <w:szCs w:val="24"/>
        </w:rPr>
        <w:t xml:space="preserve">5. </w:t>
      </w:r>
      <w:r w:rsidRPr="00EB74DC">
        <w:rPr>
          <w:sz w:val="24"/>
          <w:szCs w:val="24"/>
        </w:rPr>
        <w:t xml:space="preserve">The statutory damage remedies provided by </w:t>
      </w:r>
      <w:r>
        <w:rPr>
          <w:sz w:val="24"/>
          <w:szCs w:val="24"/>
        </w:rPr>
        <w:t>section</w:t>
      </w:r>
      <w:r w:rsidRPr="00EB74DC">
        <w:rPr>
          <w:sz w:val="24"/>
          <w:szCs w:val="24"/>
        </w:rPr>
        <w:t xml:space="preserve"> 10-3-1116(1) </w:t>
      </w:r>
      <w:r>
        <w:rPr>
          <w:sz w:val="24"/>
          <w:szCs w:val="24"/>
        </w:rPr>
        <w:t xml:space="preserve">are not subject to </w:t>
      </w:r>
      <w:r w:rsidRPr="00EB74DC">
        <w:rPr>
          <w:sz w:val="24"/>
          <w:szCs w:val="24"/>
        </w:rPr>
        <w:t>the one-year limitation of action</w:t>
      </w:r>
      <w:r w:rsidR="008B5E97">
        <w:rPr>
          <w:sz w:val="24"/>
          <w:szCs w:val="24"/>
        </w:rPr>
        <w:t>s</w:t>
      </w:r>
      <w:r w:rsidRPr="00EB74DC">
        <w:rPr>
          <w:sz w:val="24"/>
          <w:szCs w:val="24"/>
        </w:rPr>
        <w:t xml:space="preserve"> period in section 13-80-103(1)(d), C.R.S.</w:t>
      </w:r>
      <w:r>
        <w:rPr>
          <w:sz w:val="24"/>
          <w:szCs w:val="24"/>
        </w:rPr>
        <w:t xml:space="preserve">, </w:t>
      </w:r>
      <w:r w:rsidR="008B5E97">
        <w:rPr>
          <w:sz w:val="24"/>
          <w:szCs w:val="24"/>
        </w:rPr>
        <w:t>as they</w:t>
      </w:r>
      <w:r>
        <w:rPr>
          <w:sz w:val="24"/>
          <w:szCs w:val="24"/>
        </w:rPr>
        <w:t xml:space="preserve"> </w:t>
      </w:r>
      <w:r w:rsidRPr="00EB74DC">
        <w:rPr>
          <w:sz w:val="24"/>
          <w:szCs w:val="24"/>
        </w:rPr>
        <w:t xml:space="preserve">were not intended by the legislature to operate as a penalty in the </w:t>
      </w:r>
      <w:r w:rsidR="0073147A">
        <w:rPr>
          <w:sz w:val="24"/>
          <w:szCs w:val="24"/>
        </w:rPr>
        <w:t xml:space="preserve">context of section 13-80-103(1)(d) </w:t>
      </w:r>
      <w:r w:rsidRPr="00EB74DC">
        <w:rPr>
          <w:sz w:val="24"/>
          <w:szCs w:val="24"/>
        </w:rPr>
        <w:t>applicable to “any penalty or forfeiture</w:t>
      </w:r>
      <w:r>
        <w:rPr>
          <w:sz w:val="24"/>
          <w:szCs w:val="24"/>
        </w:rPr>
        <w:t>.</w:t>
      </w:r>
      <w:r w:rsidRPr="00EB74DC">
        <w:rPr>
          <w:sz w:val="24"/>
          <w:szCs w:val="24"/>
        </w:rPr>
        <w:t xml:space="preserve">” </w:t>
      </w:r>
      <w:r w:rsidRPr="00EB74DC">
        <w:rPr>
          <w:b/>
          <w:sz w:val="24"/>
          <w:szCs w:val="24"/>
        </w:rPr>
        <w:t>Rooftop Restoration, Inc. v. Am. Family Mut. Ins. Co.</w:t>
      </w:r>
      <w:r w:rsidRPr="00EB74DC">
        <w:rPr>
          <w:sz w:val="24"/>
          <w:szCs w:val="24"/>
        </w:rPr>
        <w:t>, 2018 CO 44, ¶ 16</w:t>
      </w:r>
      <w:r>
        <w:rPr>
          <w:sz w:val="24"/>
          <w:szCs w:val="24"/>
        </w:rPr>
        <w:t>, 418 P.3d 1173</w:t>
      </w:r>
      <w:r w:rsidRPr="00EB74DC">
        <w:rPr>
          <w:sz w:val="24"/>
          <w:szCs w:val="24"/>
        </w:rPr>
        <w:t>.</w:t>
      </w:r>
      <w:r w:rsidR="00A038A6" w:rsidRPr="00EB74DC">
        <w:rPr>
          <w:rFonts w:eastAsia="Times New Roman"/>
          <w:sz w:val="24"/>
          <w:szCs w:val="24"/>
        </w:rPr>
        <w:t xml:space="preserve"> </w:t>
      </w:r>
      <w:r w:rsidR="0007187A">
        <w:rPr>
          <w:rFonts w:eastAsia="Times New Roman"/>
          <w:sz w:val="24"/>
          <w:szCs w:val="24"/>
        </w:rPr>
        <w:t>In</w:t>
      </w:r>
      <w:r w:rsidR="001C2259">
        <w:rPr>
          <w:rFonts w:eastAsia="Times New Roman"/>
          <w:sz w:val="24"/>
          <w:szCs w:val="24"/>
        </w:rPr>
        <w:t xml:space="preserve"> contrast, because the statutory damages remedies provided by section 10-3-1117(3), C.R.S., are a penalty, they are subject to the one-year statute of limitations in section 13-80-103(1)(d), C.R.S., and a claim for such penalties accrues only on the thirty-first day following a claimant’s request for the policy. </w:t>
      </w:r>
      <w:r w:rsidR="001C2259" w:rsidRPr="0042114F">
        <w:rPr>
          <w:rFonts w:eastAsia="Times New Roman"/>
          <w:b/>
          <w:bCs/>
          <w:sz w:val="24"/>
          <w:szCs w:val="24"/>
        </w:rPr>
        <w:t>Reynolds v. Great N. Ins. Co.</w:t>
      </w:r>
      <w:r w:rsidR="001C2259" w:rsidRPr="0042114F">
        <w:rPr>
          <w:rFonts w:eastAsia="Times New Roman"/>
          <w:sz w:val="24"/>
          <w:szCs w:val="24"/>
        </w:rPr>
        <w:t>, 2023 COA 77</w:t>
      </w:r>
      <w:r w:rsidR="001C2259">
        <w:rPr>
          <w:rFonts w:eastAsia="Times New Roman"/>
          <w:sz w:val="24"/>
          <w:szCs w:val="24"/>
        </w:rPr>
        <w:t xml:space="preserve">, ¶¶ 14-16. </w:t>
      </w:r>
    </w:p>
    <w:p w14:paraId="7E7976DE" w14:textId="77777777" w:rsidR="009E7644" w:rsidRPr="009E7644" w:rsidRDefault="009E7644" w:rsidP="009E7644">
      <w:pPr>
        <w:spacing w:after="240"/>
        <w:ind w:firstLine="720"/>
        <w:rPr>
          <w:rFonts w:eastAsia="Times New Roman"/>
          <w:sz w:val="24"/>
          <w:szCs w:val="24"/>
        </w:rPr>
      </w:pPr>
      <w:r>
        <w:rPr>
          <w:rFonts w:eastAsia="Times New Roman"/>
          <w:sz w:val="24"/>
          <w:szCs w:val="24"/>
        </w:rPr>
        <w:t xml:space="preserve">6. </w:t>
      </w:r>
      <w:r w:rsidRPr="009E7644">
        <w:rPr>
          <w:rFonts w:eastAsia="Times New Roman"/>
          <w:sz w:val="24"/>
          <w:szCs w:val="24"/>
        </w:rPr>
        <w:t xml:space="preserve">The award of “two times the covered benefit” allowed under </w:t>
      </w:r>
      <w:r>
        <w:rPr>
          <w:rFonts w:eastAsia="Times New Roman"/>
          <w:sz w:val="24"/>
          <w:szCs w:val="24"/>
        </w:rPr>
        <w:t>section</w:t>
      </w:r>
      <w:r w:rsidRPr="009E7644">
        <w:rPr>
          <w:rFonts w:eastAsia="Times New Roman"/>
          <w:sz w:val="24"/>
          <w:szCs w:val="24"/>
        </w:rPr>
        <w:t xml:space="preserve"> 10-3-1116(1) may not be reduced by the amount of an unreasonably delayed benefit </w:t>
      </w:r>
      <w:r>
        <w:rPr>
          <w:rFonts w:eastAsia="Times New Roman"/>
          <w:sz w:val="24"/>
          <w:szCs w:val="24"/>
        </w:rPr>
        <w:t xml:space="preserve">paid </w:t>
      </w:r>
      <w:r w:rsidRPr="009E7644">
        <w:rPr>
          <w:rFonts w:eastAsia="Times New Roman"/>
          <w:sz w:val="24"/>
          <w:szCs w:val="24"/>
        </w:rPr>
        <w:t xml:space="preserve">prior to judgment. </w:t>
      </w:r>
      <w:r w:rsidRPr="009E7644">
        <w:rPr>
          <w:rFonts w:eastAsia="Times New Roman"/>
          <w:b/>
          <w:sz w:val="24"/>
          <w:szCs w:val="24"/>
        </w:rPr>
        <w:t>Am. Family Mut. Ins. Co. v. Barriga</w:t>
      </w:r>
      <w:r w:rsidRPr="009E7644">
        <w:rPr>
          <w:rFonts w:eastAsia="Times New Roman"/>
          <w:sz w:val="24"/>
          <w:szCs w:val="24"/>
        </w:rPr>
        <w:t>, 2018 CO 42</w:t>
      </w:r>
      <w:r>
        <w:rPr>
          <w:rFonts w:eastAsia="Times New Roman"/>
          <w:sz w:val="24"/>
          <w:szCs w:val="24"/>
        </w:rPr>
        <w:t>, ¶ 11, 418 P.3d 1181.</w:t>
      </w:r>
    </w:p>
    <w:p w14:paraId="14D20CAD" w14:textId="7AF8B8D3" w:rsidR="009E7644" w:rsidRPr="00EB74DC" w:rsidRDefault="009E7644" w:rsidP="009E7644">
      <w:pPr>
        <w:spacing w:after="240"/>
        <w:ind w:firstLine="720"/>
        <w:rPr>
          <w:rFonts w:eastAsia="Times New Roman"/>
          <w:sz w:val="24"/>
          <w:szCs w:val="24"/>
        </w:rPr>
      </w:pPr>
      <w:r>
        <w:rPr>
          <w:rFonts w:eastAsia="Times New Roman"/>
          <w:sz w:val="24"/>
          <w:szCs w:val="24"/>
        </w:rPr>
        <w:t xml:space="preserve">7. </w:t>
      </w:r>
      <w:r w:rsidR="0073147A">
        <w:rPr>
          <w:rFonts w:eastAsia="Times New Roman"/>
          <w:sz w:val="24"/>
          <w:szCs w:val="24"/>
        </w:rPr>
        <w:t xml:space="preserve">Under section 10-3-1115, C.R.S., </w:t>
      </w:r>
      <w:r w:rsidRPr="009E7644">
        <w:rPr>
          <w:rFonts w:eastAsia="Times New Roman"/>
          <w:sz w:val="24"/>
          <w:szCs w:val="24"/>
        </w:rPr>
        <w:t>“</w:t>
      </w:r>
      <w:r w:rsidR="0073147A">
        <w:rPr>
          <w:rFonts w:eastAsia="Times New Roman"/>
          <w:sz w:val="24"/>
          <w:szCs w:val="24"/>
        </w:rPr>
        <w:t>i</w:t>
      </w:r>
      <w:r w:rsidRPr="009E7644">
        <w:rPr>
          <w:rFonts w:eastAsia="Times New Roman"/>
          <w:sz w:val="24"/>
          <w:szCs w:val="24"/>
        </w:rPr>
        <w:t xml:space="preserve">nsurers have a duty not to unreasonably delay or deny payment of covered benefits, even though other components of an insured’s claim may still </w:t>
      </w:r>
      <w:r w:rsidRPr="009E7644">
        <w:rPr>
          <w:rFonts w:eastAsia="Times New Roman"/>
          <w:sz w:val="24"/>
          <w:szCs w:val="24"/>
        </w:rPr>
        <w:lastRenderedPageBreak/>
        <w:t xml:space="preserve">be reasonably in dispute.” </w:t>
      </w:r>
      <w:r w:rsidRPr="009E7644">
        <w:rPr>
          <w:rFonts w:eastAsia="Times New Roman"/>
          <w:b/>
          <w:sz w:val="24"/>
          <w:szCs w:val="24"/>
        </w:rPr>
        <w:t>State Farm Mut. Auto. Ins. Co. v. Fisher</w:t>
      </w:r>
      <w:r w:rsidRPr="009E7644">
        <w:rPr>
          <w:rFonts w:eastAsia="Times New Roman"/>
          <w:sz w:val="24"/>
          <w:szCs w:val="24"/>
        </w:rPr>
        <w:t>, 2018 CO 39, ¶ 27</w:t>
      </w:r>
      <w:r>
        <w:rPr>
          <w:rFonts w:eastAsia="Times New Roman"/>
          <w:sz w:val="24"/>
          <w:szCs w:val="24"/>
        </w:rPr>
        <w:t>, 418</w:t>
      </w:r>
      <w:r w:rsidR="0073147A">
        <w:rPr>
          <w:rFonts w:eastAsia="Times New Roman"/>
          <w:sz w:val="24"/>
          <w:szCs w:val="24"/>
        </w:rPr>
        <w:t xml:space="preserve"> </w:t>
      </w:r>
      <w:r>
        <w:rPr>
          <w:rFonts w:eastAsia="Times New Roman"/>
          <w:sz w:val="24"/>
          <w:szCs w:val="24"/>
        </w:rPr>
        <w:t>P.3d 501, 506</w:t>
      </w:r>
      <w:r w:rsidRPr="009E7644">
        <w:rPr>
          <w:rFonts w:eastAsia="Times New Roman"/>
          <w:sz w:val="24"/>
          <w:szCs w:val="24"/>
        </w:rPr>
        <w:t>.</w:t>
      </w:r>
      <w:r w:rsidR="001C2259" w:rsidRPr="001C2259">
        <w:rPr>
          <w:rFonts w:eastAsia="Times New Roman"/>
          <w:sz w:val="24"/>
          <w:szCs w:val="24"/>
        </w:rPr>
        <w:t xml:space="preserve"> </w:t>
      </w:r>
      <w:r w:rsidR="001C2259">
        <w:rPr>
          <w:rFonts w:eastAsia="Times New Roman"/>
          <w:sz w:val="24"/>
          <w:szCs w:val="24"/>
        </w:rPr>
        <w:t xml:space="preserve">Under </w:t>
      </w:r>
      <w:r w:rsidR="001C2259" w:rsidRPr="001C2259">
        <w:rPr>
          <w:rFonts w:eastAsia="Times New Roman"/>
          <w:b/>
          <w:bCs/>
          <w:sz w:val="24"/>
          <w:szCs w:val="24"/>
        </w:rPr>
        <w:t>Fisher</w:t>
      </w:r>
      <w:r w:rsidR="001C2259">
        <w:rPr>
          <w:rFonts w:eastAsia="Times New Roman"/>
          <w:sz w:val="24"/>
          <w:szCs w:val="24"/>
        </w:rPr>
        <w:t xml:space="preserve">, an insurer’s internal valuation of an insured’s noneconomic damages is “inadmissible as evidence of undisputed ‘benefits owed’” to an insured. </w:t>
      </w:r>
      <w:r w:rsidR="001C2259" w:rsidRPr="009B4ADE">
        <w:rPr>
          <w:rFonts w:eastAsia="Times New Roman"/>
          <w:b/>
          <w:bCs/>
          <w:sz w:val="24"/>
          <w:szCs w:val="24"/>
        </w:rPr>
        <w:t>Fear v. GEICO Cas. Co.</w:t>
      </w:r>
      <w:r w:rsidR="001C2259" w:rsidRPr="009B4ADE">
        <w:rPr>
          <w:rFonts w:eastAsia="Times New Roman"/>
          <w:sz w:val="24"/>
          <w:szCs w:val="24"/>
        </w:rPr>
        <w:t xml:space="preserve">, </w:t>
      </w:r>
      <w:r w:rsidR="001C2259">
        <w:rPr>
          <w:rFonts w:eastAsia="Times New Roman"/>
          <w:sz w:val="24"/>
          <w:szCs w:val="24"/>
        </w:rPr>
        <w:t xml:space="preserve">2023 COA 31, ¶ 22, </w:t>
      </w:r>
      <w:r w:rsidR="001C2259" w:rsidRPr="009B4ADE">
        <w:rPr>
          <w:rFonts w:eastAsia="Times New Roman"/>
          <w:sz w:val="24"/>
          <w:szCs w:val="24"/>
        </w:rPr>
        <w:t>532 P.3d 382, 387</w:t>
      </w:r>
      <w:r w:rsidR="001C2259">
        <w:rPr>
          <w:rFonts w:eastAsia="Times New Roman"/>
          <w:sz w:val="24"/>
          <w:szCs w:val="24"/>
        </w:rPr>
        <w:t>.</w:t>
      </w:r>
    </w:p>
    <w:p w14:paraId="593CFD39" w14:textId="77777777" w:rsidR="00EA097A" w:rsidRPr="0054263B" w:rsidRDefault="00EA097A" w:rsidP="00EA097A">
      <w:pPr>
        <w:keepNext/>
        <w:spacing w:after="240"/>
        <w:jc w:val="center"/>
        <w:rPr>
          <w:rFonts w:eastAsia="Times New Roman"/>
          <w:b/>
          <w:sz w:val="24"/>
          <w:szCs w:val="24"/>
        </w:rPr>
      </w:pPr>
      <w:r>
        <w:rPr>
          <w:rFonts w:eastAsia="Times New Roman"/>
          <w:b/>
          <w:sz w:val="24"/>
          <w:szCs w:val="24"/>
        </w:rPr>
        <w:t>Source and Authority</w:t>
      </w:r>
    </w:p>
    <w:p w14:paraId="13CB4C46" w14:textId="77777777" w:rsidR="00A038A6" w:rsidRPr="00A038A6" w:rsidRDefault="00A038A6" w:rsidP="00A038A6">
      <w:pPr>
        <w:spacing w:after="240"/>
        <w:ind w:firstLine="720"/>
        <w:rPr>
          <w:rFonts w:eastAsia="Times New Roman"/>
          <w:sz w:val="24"/>
          <w:szCs w:val="24"/>
        </w:rPr>
      </w:pPr>
      <w:r w:rsidRPr="00A038A6">
        <w:rPr>
          <w:rFonts w:eastAsia="Times New Roman"/>
          <w:sz w:val="24"/>
          <w:szCs w:val="24"/>
        </w:rPr>
        <w:t xml:space="preserve">1. This instruction is supported by section 10-3-1116(1), (4); and </w:t>
      </w:r>
      <w:r w:rsidRPr="00A038A6">
        <w:rPr>
          <w:rFonts w:eastAsia="Times New Roman"/>
          <w:b/>
          <w:sz w:val="24"/>
          <w:szCs w:val="24"/>
        </w:rPr>
        <w:t>Kisselman v. American Family Mutual Insurance Co.</w:t>
      </w:r>
      <w:r w:rsidRPr="00A038A6">
        <w:rPr>
          <w:rFonts w:eastAsia="Times New Roman"/>
          <w:sz w:val="24"/>
          <w:szCs w:val="24"/>
        </w:rPr>
        <w:t>, 292 P.3d 964 (Colo. App. 2011).</w:t>
      </w:r>
    </w:p>
    <w:p w14:paraId="3D7BC3A8" w14:textId="78E41BFE" w:rsidR="00A038A6" w:rsidRPr="00A038A6" w:rsidRDefault="00813381" w:rsidP="00A038A6">
      <w:pPr>
        <w:spacing w:after="240"/>
        <w:ind w:firstLine="720"/>
        <w:rPr>
          <w:rFonts w:eastAsia="Times New Roman"/>
          <w:sz w:val="24"/>
          <w:szCs w:val="24"/>
        </w:rPr>
      </w:pPr>
      <w:r>
        <w:rPr>
          <w:rFonts w:eastAsia="Times New Roman"/>
          <w:sz w:val="24"/>
          <w:szCs w:val="24"/>
        </w:rPr>
        <w:t>2</w:t>
      </w:r>
      <w:r w:rsidR="00A038A6" w:rsidRPr="00A038A6">
        <w:rPr>
          <w:rFonts w:eastAsia="Times New Roman"/>
          <w:sz w:val="24"/>
          <w:szCs w:val="24"/>
        </w:rPr>
        <w:t xml:space="preserve">. Award of reasonable attorney fees under section 10-3-1116(1) is not limited by a contingent agreement between counsel and the insured, which is but one factor in trial court’s determination of reasonable fees. </w:t>
      </w:r>
      <w:r w:rsidR="00A038A6" w:rsidRPr="00A038A6">
        <w:rPr>
          <w:rFonts w:eastAsia="Times New Roman"/>
          <w:b/>
          <w:sz w:val="24"/>
          <w:szCs w:val="24"/>
        </w:rPr>
        <w:t>Melssen v. Auto-Owners Ins. Co.</w:t>
      </w:r>
      <w:r w:rsidR="00A038A6" w:rsidRPr="00A038A6">
        <w:rPr>
          <w:rFonts w:eastAsia="Times New Roman"/>
          <w:sz w:val="24"/>
          <w:szCs w:val="24"/>
        </w:rPr>
        <w:t>, 2012 COA 102, ¶ 70, 285 P.3d 328.</w:t>
      </w:r>
    </w:p>
    <w:p w14:paraId="500DCBE3" w14:textId="6212E7A4" w:rsidR="00A038A6" w:rsidRPr="00A038A6" w:rsidRDefault="00813381" w:rsidP="00A038A6">
      <w:pPr>
        <w:spacing w:after="240"/>
        <w:ind w:firstLine="720"/>
        <w:rPr>
          <w:rFonts w:eastAsia="Times New Roman"/>
          <w:sz w:val="24"/>
          <w:szCs w:val="24"/>
        </w:rPr>
      </w:pPr>
      <w:r>
        <w:rPr>
          <w:rFonts w:eastAsia="Times New Roman"/>
          <w:sz w:val="24"/>
          <w:szCs w:val="24"/>
        </w:rPr>
        <w:t>3</w:t>
      </w:r>
      <w:r w:rsidR="00A038A6" w:rsidRPr="00A038A6">
        <w:rPr>
          <w:rFonts w:eastAsia="Times New Roman"/>
          <w:sz w:val="24"/>
          <w:szCs w:val="24"/>
        </w:rPr>
        <w:t xml:space="preserve">. Fees incurred in prosecuting the statutory claim for attorney fees (“fees-on-fees”) are recoverable pursuant to section 10-3-1116(1). When payment of a covered benefit is delayed without a reasonable basis, two times the amount of that benefit remains recoverable despite the prior payment. </w:t>
      </w:r>
      <w:r w:rsidR="00A038A6" w:rsidRPr="00A038A6">
        <w:rPr>
          <w:rFonts w:eastAsia="Times New Roman"/>
          <w:b/>
          <w:sz w:val="24"/>
          <w:szCs w:val="24"/>
        </w:rPr>
        <w:t>Nibert v. Geico Cas. Co.</w:t>
      </w:r>
      <w:r w:rsidR="00A038A6" w:rsidRPr="00A038A6">
        <w:rPr>
          <w:rFonts w:eastAsia="Times New Roman"/>
          <w:sz w:val="24"/>
          <w:szCs w:val="24"/>
        </w:rPr>
        <w:t>, 2017 COA 23, ¶ 25</w:t>
      </w:r>
      <w:r w:rsidR="00FD0662">
        <w:rPr>
          <w:rFonts w:eastAsia="Times New Roman"/>
          <w:sz w:val="24"/>
          <w:szCs w:val="24"/>
        </w:rPr>
        <w:t>, 488 P.3d 142</w:t>
      </w:r>
      <w:r w:rsidR="00A038A6" w:rsidRPr="00A038A6">
        <w:rPr>
          <w:rFonts w:eastAsia="Times New Roman"/>
          <w:sz w:val="24"/>
          <w:szCs w:val="24"/>
        </w:rPr>
        <w:t xml:space="preserve">. The statutory remedy creates an exception to the American Rule and authorizes “fees on fees” recovery because attorney fees are part of the damage calculation. </w:t>
      </w:r>
      <w:r w:rsidR="00A038A6" w:rsidRPr="00A038A6">
        <w:rPr>
          <w:rFonts w:eastAsia="Times New Roman"/>
          <w:i/>
          <w:sz w:val="24"/>
          <w:szCs w:val="24"/>
        </w:rPr>
        <w:t>Id.</w:t>
      </w:r>
      <w:r w:rsidR="00A038A6" w:rsidRPr="00A038A6">
        <w:rPr>
          <w:rFonts w:eastAsia="Times New Roman"/>
          <w:sz w:val="24"/>
          <w:szCs w:val="24"/>
        </w:rPr>
        <w:t xml:space="preserve"> at ¶ 32</w:t>
      </w:r>
      <w:r w:rsidR="00414C93">
        <w:rPr>
          <w:rFonts w:eastAsia="Times New Roman"/>
          <w:sz w:val="24"/>
          <w:szCs w:val="24"/>
        </w:rPr>
        <w:t>;</w:t>
      </w:r>
      <w:r w:rsidR="00A038A6" w:rsidRPr="00A038A6">
        <w:rPr>
          <w:rFonts w:eastAsia="Times New Roman"/>
          <w:sz w:val="24"/>
          <w:szCs w:val="24"/>
        </w:rPr>
        <w:t xml:space="preserve"> </w:t>
      </w:r>
      <w:r w:rsidR="00A038A6" w:rsidRPr="00A038A6">
        <w:rPr>
          <w:rFonts w:eastAsia="Times New Roman"/>
          <w:b/>
          <w:sz w:val="24"/>
          <w:szCs w:val="24"/>
        </w:rPr>
        <w:t>Stresscon Corp. v. Travelers Prop. Cas. Co. of Am.</w:t>
      </w:r>
      <w:r w:rsidR="00A038A6" w:rsidRPr="00A038A6">
        <w:rPr>
          <w:rFonts w:eastAsia="Times New Roman"/>
          <w:sz w:val="24"/>
          <w:szCs w:val="24"/>
        </w:rPr>
        <w:t xml:space="preserve">, 2013 COA 131, ¶ 120, 373 P.3d 615, </w:t>
      </w:r>
      <w:r w:rsidR="00A038A6" w:rsidRPr="00A038A6">
        <w:rPr>
          <w:rFonts w:eastAsia="Times New Roman"/>
          <w:i/>
          <w:sz w:val="24"/>
          <w:szCs w:val="24"/>
        </w:rPr>
        <w:t>rev’d on other grounds</w:t>
      </w:r>
      <w:r w:rsidR="00A038A6" w:rsidRPr="00A038A6">
        <w:rPr>
          <w:rFonts w:eastAsia="Times New Roman"/>
          <w:sz w:val="24"/>
          <w:szCs w:val="24"/>
        </w:rPr>
        <w:t>, 2016 CO 22M, 370 P.3d 140.</w:t>
      </w:r>
    </w:p>
    <w:p w14:paraId="3C53A4B9" w14:textId="0A4D6EE6" w:rsidR="00A038A6" w:rsidRPr="00CC4F1D" w:rsidRDefault="00813381" w:rsidP="00A038A6">
      <w:pPr>
        <w:spacing w:after="240"/>
        <w:ind w:firstLine="720"/>
        <w:rPr>
          <w:rFonts w:eastAsia="Times New Roman"/>
          <w:sz w:val="24"/>
          <w:szCs w:val="24"/>
        </w:rPr>
      </w:pPr>
      <w:r>
        <w:rPr>
          <w:rFonts w:eastAsia="Times New Roman"/>
          <w:sz w:val="24"/>
          <w:szCs w:val="24"/>
        </w:rPr>
        <w:t>4</w:t>
      </w:r>
      <w:r w:rsidR="00A038A6" w:rsidRPr="00CC4F1D">
        <w:rPr>
          <w:rFonts w:eastAsia="Times New Roman"/>
          <w:sz w:val="24"/>
          <w:szCs w:val="24"/>
        </w:rPr>
        <w:t xml:space="preserve">. </w:t>
      </w:r>
      <w:r w:rsidR="00D32A43" w:rsidRPr="00CC4F1D">
        <w:rPr>
          <w:sz w:val="24"/>
          <w:szCs w:val="24"/>
        </w:rPr>
        <w:t xml:space="preserve">In determining the maximum limit on recoverable punitive damages for purposes of final judgment, attorney fees and costs awarded under section 10-3-1116(1) are a component of actual damages to be included in calculating the permissible amount of punitive damages owed to a prevailing plaintiff. </w:t>
      </w:r>
      <w:r w:rsidR="00D32A43" w:rsidRPr="00CC4F1D">
        <w:rPr>
          <w:b/>
          <w:sz w:val="24"/>
          <w:szCs w:val="24"/>
        </w:rPr>
        <w:t>Guar. Tr. Life Ins. Co. v. Estate of Casper</w:t>
      </w:r>
      <w:r w:rsidR="00D32A43" w:rsidRPr="00CC4F1D">
        <w:rPr>
          <w:sz w:val="24"/>
          <w:szCs w:val="24"/>
        </w:rPr>
        <w:t>, 2018 CO 43, ¶¶ 1, 25, 418 P.3d 1163</w:t>
      </w:r>
      <w:r w:rsidR="00231719">
        <w:rPr>
          <w:sz w:val="24"/>
          <w:szCs w:val="24"/>
        </w:rPr>
        <w:t>.</w:t>
      </w:r>
      <w:r w:rsidR="00A038A6" w:rsidRPr="00CC4F1D">
        <w:rPr>
          <w:rFonts w:eastAsia="Times New Roman"/>
          <w:sz w:val="24"/>
          <w:szCs w:val="24"/>
        </w:rPr>
        <w:t xml:space="preserve"> </w:t>
      </w:r>
    </w:p>
    <w:p w14:paraId="6FE31E34" w14:textId="57A42BBE" w:rsidR="00A038A6" w:rsidRPr="00A038A6" w:rsidRDefault="00813381" w:rsidP="00A038A6">
      <w:pPr>
        <w:spacing w:after="240"/>
        <w:ind w:firstLine="720"/>
        <w:rPr>
          <w:rFonts w:eastAsia="Times New Roman"/>
          <w:sz w:val="24"/>
          <w:szCs w:val="24"/>
        </w:rPr>
      </w:pPr>
      <w:r>
        <w:rPr>
          <w:rFonts w:eastAsia="Times New Roman"/>
          <w:sz w:val="24"/>
          <w:szCs w:val="24"/>
        </w:rPr>
        <w:t>5</w:t>
      </w:r>
      <w:r w:rsidR="00A038A6" w:rsidRPr="00A038A6">
        <w:rPr>
          <w:rFonts w:eastAsia="Times New Roman"/>
          <w:sz w:val="24"/>
          <w:szCs w:val="24"/>
        </w:rPr>
        <w:t>. Due to their shared elements,</w:t>
      </w:r>
      <w:r w:rsidR="00A038A6" w:rsidRPr="00A038A6" w:rsidDel="004051A7">
        <w:rPr>
          <w:rFonts w:eastAsia="Times New Roman"/>
          <w:sz w:val="24"/>
          <w:szCs w:val="24"/>
        </w:rPr>
        <w:t xml:space="preserve"> </w:t>
      </w:r>
      <w:r w:rsidR="00A038A6" w:rsidRPr="00A038A6">
        <w:rPr>
          <w:rFonts w:eastAsia="Times New Roman"/>
          <w:sz w:val="24"/>
          <w:szCs w:val="24"/>
        </w:rPr>
        <w:t>litigating a common law and statutory bad faith claim in the same case is “inescapably intertwined.” A trial cou</w:t>
      </w:r>
      <w:r w:rsidR="00E31F1C">
        <w:rPr>
          <w:rFonts w:eastAsia="Times New Roman"/>
          <w:sz w:val="24"/>
          <w:szCs w:val="24"/>
        </w:rPr>
        <w:t xml:space="preserve">rt has the discretion to award </w:t>
      </w:r>
      <w:r w:rsidR="00A038A6" w:rsidRPr="00A038A6">
        <w:rPr>
          <w:rFonts w:eastAsia="Times New Roman"/>
          <w:sz w:val="24"/>
          <w:szCs w:val="24"/>
        </w:rPr>
        <w:t xml:space="preserve">reasonable attorney fees without limiting them to work performed on the statutory claim. </w:t>
      </w:r>
      <w:r w:rsidR="00A038A6" w:rsidRPr="00A038A6">
        <w:rPr>
          <w:rFonts w:eastAsia="Times New Roman"/>
          <w:i/>
          <w:sz w:val="24"/>
          <w:szCs w:val="24"/>
        </w:rPr>
        <w:t>Id.</w:t>
      </w:r>
      <w:r w:rsidR="00A038A6" w:rsidRPr="00A038A6">
        <w:rPr>
          <w:rFonts w:eastAsia="Times New Roman"/>
          <w:sz w:val="24"/>
          <w:szCs w:val="24"/>
        </w:rPr>
        <w:t xml:space="preserve"> at ¶¶ 33, 37 (citing </w:t>
      </w:r>
      <w:r w:rsidR="00A038A6" w:rsidRPr="00A038A6">
        <w:rPr>
          <w:rFonts w:eastAsia="Times New Roman"/>
          <w:b/>
          <w:sz w:val="24"/>
          <w:szCs w:val="24"/>
        </w:rPr>
        <w:t>Fisher v. State Farm Mut. Auto. Ins. Co.</w:t>
      </w:r>
      <w:r w:rsidR="00A038A6" w:rsidRPr="00A038A6">
        <w:rPr>
          <w:rFonts w:eastAsia="Times New Roman"/>
          <w:sz w:val="24"/>
          <w:szCs w:val="24"/>
        </w:rPr>
        <w:t>, 2015 COA 57, ¶ 23</w:t>
      </w:r>
      <w:r w:rsidR="003E604A">
        <w:rPr>
          <w:rFonts w:eastAsia="Times New Roman"/>
          <w:sz w:val="24"/>
          <w:szCs w:val="24"/>
        </w:rPr>
        <w:t xml:space="preserve">, 419 P.3d 985, </w:t>
      </w:r>
      <w:r w:rsidR="003E604A" w:rsidRPr="003E604A">
        <w:rPr>
          <w:rFonts w:eastAsia="Times New Roman"/>
          <w:i/>
          <w:sz w:val="24"/>
          <w:szCs w:val="24"/>
        </w:rPr>
        <w:t>aff’d on other grounds</w:t>
      </w:r>
      <w:r w:rsidR="003E604A">
        <w:rPr>
          <w:rFonts w:eastAsia="Times New Roman"/>
          <w:sz w:val="24"/>
          <w:szCs w:val="24"/>
        </w:rPr>
        <w:t>, 2018 CO 39, 418 P.3d 501</w:t>
      </w:r>
      <w:r w:rsidR="00B57DEA">
        <w:rPr>
          <w:rFonts w:eastAsia="Times New Roman"/>
          <w:sz w:val="24"/>
          <w:szCs w:val="24"/>
        </w:rPr>
        <w:t xml:space="preserve">); </w:t>
      </w:r>
      <w:r w:rsidR="00B57DEA">
        <w:rPr>
          <w:rFonts w:eastAsia="Times New Roman"/>
          <w:i/>
          <w:sz w:val="24"/>
          <w:szCs w:val="24"/>
        </w:rPr>
        <w:t>s</w:t>
      </w:r>
      <w:r w:rsidR="00A038A6" w:rsidRPr="00BA77D6">
        <w:rPr>
          <w:rFonts w:eastAsia="Times New Roman"/>
          <w:i/>
          <w:sz w:val="24"/>
          <w:szCs w:val="24"/>
        </w:rPr>
        <w:t>ee also</w:t>
      </w:r>
      <w:r w:rsidR="00A038A6" w:rsidRPr="00BA77D6">
        <w:rPr>
          <w:rFonts w:eastAsia="Times New Roman"/>
          <w:sz w:val="24"/>
          <w:szCs w:val="24"/>
        </w:rPr>
        <w:t xml:space="preserve"> </w:t>
      </w:r>
      <w:r w:rsidR="00CB13C1" w:rsidRPr="00CB13C1">
        <w:rPr>
          <w:rFonts w:eastAsia="Times New Roman"/>
          <w:b/>
          <w:sz w:val="24"/>
          <w:szCs w:val="24"/>
        </w:rPr>
        <w:t xml:space="preserve">Estate of </w:t>
      </w:r>
      <w:r w:rsidR="00A038A6" w:rsidRPr="00BA77D6">
        <w:rPr>
          <w:rFonts w:eastAsia="Times New Roman"/>
          <w:b/>
          <w:sz w:val="24"/>
          <w:szCs w:val="24"/>
        </w:rPr>
        <w:t>Casper v. Guar. Tr. Life Ins. Co.</w:t>
      </w:r>
      <w:r w:rsidR="00A038A6" w:rsidRPr="00BA77D6">
        <w:rPr>
          <w:rFonts w:eastAsia="Times New Roman"/>
          <w:sz w:val="24"/>
          <w:szCs w:val="24"/>
        </w:rPr>
        <w:t>, 2016 COA 167, ¶ 81</w:t>
      </w:r>
      <w:r w:rsidR="00211BAE">
        <w:rPr>
          <w:rFonts w:eastAsia="Times New Roman"/>
          <w:sz w:val="24"/>
          <w:szCs w:val="24"/>
        </w:rPr>
        <w:t>, 421 P.3d 1184</w:t>
      </w:r>
      <w:r w:rsidR="00A038A6" w:rsidRPr="00BA77D6">
        <w:rPr>
          <w:rFonts w:eastAsia="Times New Roman"/>
          <w:sz w:val="24"/>
          <w:szCs w:val="24"/>
        </w:rPr>
        <w:t xml:space="preserve"> (overall reduction of attorney fee and cost damages more than sixty percent of amount sought not an abuse of discretion)</w:t>
      </w:r>
      <w:r w:rsidR="00BA77D6">
        <w:rPr>
          <w:rFonts w:eastAsia="Times New Roman"/>
          <w:sz w:val="24"/>
          <w:szCs w:val="24"/>
        </w:rPr>
        <w:t xml:space="preserve">, </w:t>
      </w:r>
      <w:r w:rsidR="00BA77D6" w:rsidRPr="00BA77D6">
        <w:rPr>
          <w:rFonts w:eastAsia="Times New Roman"/>
          <w:i/>
          <w:sz w:val="24"/>
          <w:szCs w:val="24"/>
        </w:rPr>
        <w:t>aff’d in part, rev’d in part on other grounds</w:t>
      </w:r>
      <w:r w:rsidR="00BA77D6">
        <w:rPr>
          <w:rFonts w:eastAsia="Times New Roman"/>
          <w:sz w:val="24"/>
          <w:szCs w:val="24"/>
        </w:rPr>
        <w:t>, 2018 CO 43, 418 P.3d 1163</w:t>
      </w:r>
      <w:r w:rsidR="00A038A6" w:rsidRPr="00BA77D6">
        <w:rPr>
          <w:rFonts w:eastAsia="Times New Roman"/>
          <w:sz w:val="24"/>
          <w:szCs w:val="24"/>
        </w:rPr>
        <w:t>.</w:t>
      </w:r>
    </w:p>
    <w:p w14:paraId="770A984A" w14:textId="17CEA78C" w:rsidR="00A038A6" w:rsidRPr="00A038A6" w:rsidRDefault="00813381" w:rsidP="00A038A6">
      <w:pPr>
        <w:spacing w:after="240"/>
        <w:ind w:firstLine="720"/>
        <w:rPr>
          <w:rFonts w:eastAsia="Times New Roman"/>
          <w:sz w:val="24"/>
          <w:szCs w:val="24"/>
        </w:rPr>
      </w:pPr>
      <w:r>
        <w:rPr>
          <w:rFonts w:eastAsia="Times New Roman"/>
          <w:sz w:val="24"/>
          <w:szCs w:val="24"/>
        </w:rPr>
        <w:t>6</w:t>
      </w:r>
      <w:r w:rsidR="00A038A6" w:rsidRPr="00A038A6">
        <w:rPr>
          <w:rFonts w:eastAsia="Times New Roman"/>
          <w:sz w:val="24"/>
          <w:szCs w:val="24"/>
        </w:rPr>
        <w:t xml:space="preserve">. Attorney fees and costs incurred in successfully defending appeal of the statutory award are also recoverable. </w:t>
      </w:r>
      <w:r w:rsidR="00A038A6" w:rsidRPr="00A038A6">
        <w:rPr>
          <w:rFonts w:eastAsia="Times New Roman"/>
          <w:b/>
          <w:sz w:val="24"/>
          <w:szCs w:val="24"/>
        </w:rPr>
        <w:t>Nibert</w:t>
      </w:r>
      <w:r w:rsidR="00A038A6" w:rsidRPr="00A038A6">
        <w:rPr>
          <w:rFonts w:eastAsia="Times New Roman"/>
          <w:sz w:val="24"/>
          <w:szCs w:val="24"/>
        </w:rPr>
        <w:t>, ¶</w:t>
      </w:r>
      <w:r w:rsidR="00157C2C">
        <w:rPr>
          <w:rFonts w:eastAsia="Times New Roman"/>
          <w:sz w:val="24"/>
          <w:szCs w:val="24"/>
        </w:rPr>
        <w:t xml:space="preserve"> </w:t>
      </w:r>
      <w:r w:rsidR="00A038A6" w:rsidRPr="00A038A6">
        <w:rPr>
          <w:rFonts w:eastAsia="Times New Roman"/>
          <w:sz w:val="24"/>
          <w:szCs w:val="24"/>
        </w:rPr>
        <w:t>38</w:t>
      </w:r>
      <w:r w:rsidR="00FD0662">
        <w:rPr>
          <w:rFonts w:eastAsia="Times New Roman"/>
          <w:sz w:val="24"/>
          <w:szCs w:val="24"/>
        </w:rPr>
        <w:t>, 488 P.3d at 150</w:t>
      </w:r>
      <w:r w:rsidR="00A038A6" w:rsidRPr="00A038A6">
        <w:rPr>
          <w:rFonts w:eastAsia="Times New Roman"/>
          <w:sz w:val="24"/>
          <w:szCs w:val="24"/>
        </w:rPr>
        <w:t xml:space="preserve">; </w:t>
      </w:r>
      <w:r w:rsidR="00A038A6" w:rsidRPr="00A038A6">
        <w:rPr>
          <w:rFonts w:eastAsia="Times New Roman"/>
          <w:b/>
          <w:sz w:val="24"/>
          <w:szCs w:val="24"/>
        </w:rPr>
        <w:t>Stresscon Corp.</w:t>
      </w:r>
      <w:r w:rsidR="00A038A6" w:rsidRPr="00A038A6">
        <w:rPr>
          <w:rFonts w:eastAsia="Times New Roman"/>
          <w:sz w:val="24"/>
          <w:szCs w:val="24"/>
        </w:rPr>
        <w:t>, ¶ 136</w:t>
      </w:r>
      <w:r w:rsidR="00BA2682">
        <w:rPr>
          <w:rFonts w:eastAsia="Times New Roman"/>
          <w:sz w:val="24"/>
          <w:szCs w:val="24"/>
        </w:rPr>
        <w:t>, 373 P.3d at 641-42</w:t>
      </w:r>
      <w:r w:rsidR="00A038A6" w:rsidRPr="00A038A6">
        <w:rPr>
          <w:rFonts w:eastAsia="Times New Roman"/>
          <w:sz w:val="24"/>
          <w:szCs w:val="24"/>
        </w:rPr>
        <w:t xml:space="preserve"> (allowing recovery of fees and costs incurred on appeal when party was awarded fees and costs in a prior stage of the proceedings) (citing </w:t>
      </w:r>
      <w:r w:rsidR="00A038A6" w:rsidRPr="00A038A6">
        <w:rPr>
          <w:rFonts w:eastAsia="Times New Roman"/>
          <w:b/>
          <w:sz w:val="24"/>
          <w:szCs w:val="24"/>
        </w:rPr>
        <w:t>Melssen</w:t>
      </w:r>
      <w:r w:rsidR="00A038A6" w:rsidRPr="00A038A6">
        <w:rPr>
          <w:rFonts w:eastAsia="Times New Roman"/>
          <w:sz w:val="24"/>
          <w:szCs w:val="24"/>
        </w:rPr>
        <w:t>,</w:t>
      </w:r>
      <w:r w:rsidR="00A038A6" w:rsidRPr="00A038A6">
        <w:rPr>
          <w:rFonts w:eastAsia="Times New Roman"/>
          <w:b/>
          <w:sz w:val="24"/>
          <w:szCs w:val="24"/>
        </w:rPr>
        <w:t xml:space="preserve"> </w:t>
      </w:r>
      <w:r w:rsidR="00A038A6" w:rsidRPr="00A038A6">
        <w:rPr>
          <w:rFonts w:eastAsia="Times New Roman"/>
          <w:sz w:val="24"/>
          <w:szCs w:val="24"/>
        </w:rPr>
        <w:t>¶ 75</w:t>
      </w:r>
      <w:r w:rsidR="007571AF">
        <w:rPr>
          <w:rFonts w:eastAsia="Times New Roman"/>
          <w:sz w:val="24"/>
          <w:szCs w:val="24"/>
        </w:rPr>
        <w:t>, 285 P.3d at 339-40</w:t>
      </w:r>
      <w:r w:rsidR="00A038A6" w:rsidRPr="00A038A6">
        <w:rPr>
          <w:rFonts w:eastAsia="Times New Roman"/>
          <w:sz w:val="24"/>
          <w:szCs w:val="24"/>
        </w:rPr>
        <w:t xml:space="preserve">; </w:t>
      </w:r>
      <w:r w:rsidR="00A038A6" w:rsidRPr="00A038A6">
        <w:rPr>
          <w:rFonts w:eastAsia="Times New Roman"/>
          <w:b/>
          <w:sz w:val="24"/>
          <w:szCs w:val="24"/>
        </w:rPr>
        <w:t>Kennedy v. King Soopers Inc.</w:t>
      </w:r>
      <w:r w:rsidR="00A038A6" w:rsidRPr="00A038A6">
        <w:rPr>
          <w:rFonts w:eastAsia="Times New Roman"/>
          <w:sz w:val="24"/>
          <w:szCs w:val="24"/>
        </w:rPr>
        <w:t>, 148 P.3d 385 (Colo. App. 2006)).</w:t>
      </w:r>
    </w:p>
    <w:p w14:paraId="6C814232" w14:textId="77777777" w:rsidR="00370240" w:rsidRDefault="00370240">
      <w:pPr>
        <w:rPr>
          <w:rFonts w:eastAsia="Times New Roman"/>
          <w:sz w:val="24"/>
          <w:szCs w:val="24"/>
        </w:rPr>
      </w:pPr>
      <w:r>
        <w:rPr>
          <w:rFonts w:eastAsia="Times New Roman"/>
          <w:sz w:val="24"/>
          <w:szCs w:val="24"/>
        </w:rPr>
        <w:br w:type="page"/>
      </w:r>
    </w:p>
    <w:p w14:paraId="35D566FC" w14:textId="77777777" w:rsidR="00370240" w:rsidRPr="009E3DA4" w:rsidRDefault="00370240" w:rsidP="00370240">
      <w:pPr>
        <w:spacing w:after="240"/>
        <w:ind w:left="720" w:hanging="720"/>
        <w:rPr>
          <w:rFonts w:eastAsia="Times New Roman"/>
          <w:b/>
          <w:sz w:val="24"/>
          <w:szCs w:val="24"/>
        </w:rPr>
      </w:pPr>
      <w:bookmarkStart w:id="11" w:name="a25_11"/>
      <w:bookmarkEnd w:id="11"/>
      <w:r w:rsidRPr="00370240">
        <w:rPr>
          <w:rFonts w:eastAsia="Times New Roman"/>
          <w:b/>
          <w:sz w:val="24"/>
          <w:szCs w:val="24"/>
        </w:rPr>
        <w:lastRenderedPageBreak/>
        <w:t xml:space="preserve">25:11 </w:t>
      </w:r>
      <w:r w:rsidRPr="00370240">
        <w:rPr>
          <w:rFonts w:eastAsia="Times New Roman"/>
          <w:b/>
          <w:sz w:val="24"/>
          <w:szCs w:val="24"/>
        </w:rPr>
        <w:tab/>
        <w:t>PUNITIVE DAMAGES</w:t>
      </w:r>
    </w:p>
    <w:p w14:paraId="56DC9DE6" w14:textId="77777777" w:rsidR="00370240" w:rsidRPr="00370240" w:rsidRDefault="00370240" w:rsidP="00370240">
      <w:pPr>
        <w:spacing w:after="240"/>
        <w:ind w:firstLine="720"/>
        <w:rPr>
          <w:rFonts w:eastAsia="Times New Roman"/>
          <w:b/>
          <w:sz w:val="24"/>
          <w:szCs w:val="24"/>
        </w:rPr>
      </w:pPr>
      <w:r w:rsidRPr="00370240">
        <w:rPr>
          <w:rFonts w:eastAsia="Times New Roman"/>
          <w:b/>
          <w:sz w:val="24"/>
          <w:szCs w:val="24"/>
        </w:rPr>
        <w:t>Use Instruction 5:4.</w:t>
      </w:r>
    </w:p>
    <w:p w14:paraId="68A25DEA" w14:textId="77777777" w:rsidR="00370240" w:rsidRDefault="00370240" w:rsidP="00370240">
      <w:pPr>
        <w:jc w:val="center"/>
        <w:rPr>
          <w:rFonts w:eastAsia="Times New Roman"/>
          <w:sz w:val="24"/>
          <w:szCs w:val="24"/>
        </w:rPr>
      </w:pPr>
    </w:p>
    <w:p w14:paraId="37F9C049" w14:textId="77777777" w:rsidR="00370240" w:rsidRPr="0054263B" w:rsidRDefault="00370240" w:rsidP="00370240">
      <w:pPr>
        <w:keepNext/>
        <w:spacing w:after="240"/>
        <w:jc w:val="center"/>
        <w:rPr>
          <w:rFonts w:eastAsia="Times New Roman"/>
          <w:b/>
          <w:sz w:val="24"/>
          <w:szCs w:val="24"/>
        </w:rPr>
      </w:pPr>
      <w:r w:rsidRPr="0054263B">
        <w:rPr>
          <w:rFonts w:eastAsia="Times New Roman"/>
          <w:b/>
          <w:sz w:val="24"/>
          <w:szCs w:val="24"/>
        </w:rPr>
        <w:t>Notes on Use</w:t>
      </w:r>
    </w:p>
    <w:p w14:paraId="0352880A" w14:textId="77777777" w:rsidR="00370240" w:rsidRPr="00370240" w:rsidRDefault="00370240" w:rsidP="00370240">
      <w:pPr>
        <w:spacing w:after="240"/>
        <w:ind w:firstLine="720"/>
        <w:rPr>
          <w:rFonts w:eastAsia="Times New Roman"/>
          <w:sz w:val="24"/>
          <w:szCs w:val="24"/>
        </w:rPr>
      </w:pPr>
      <w:r w:rsidRPr="00370240">
        <w:rPr>
          <w:rFonts w:eastAsia="Times New Roman"/>
          <w:sz w:val="24"/>
          <w:szCs w:val="24"/>
        </w:rPr>
        <w:t>1. Instruction 5:4 (exemplary or punitive damages), along with 3:3 (reasonable doubt) or 9:30 (willful and wanton conduct), should be used in accordance with applicable Notes on Use.</w:t>
      </w:r>
    </w:p>
    <w:p w14:paraId="1039A11B" w14:textId="77777777" w:rsidR="00370240" w:rsidRPr="00370240" w:rsidRDefault="00370240" w:rsidP="00370240">
      <w:pPr>
        <w:spacing w:after="240"/>
        <w:ind w:firstLine="720"/>
        <w:rPr>
          <w:rFonts w:eastAsia="Times New Roman"/>
          <w:sz w:val="24"/>
          <w:szCs w:val="24"/>
        </w:rPr>
      </w:pPr>
      <w:r w:rsidRPr="00370240">
        <w:rPr>
          <w:rFonts w:eastAsia="Times New Roman"/>
          <w:sz w:val="24"/>
          <w:szCs w:val="24"/>
        </w:rPr>
        <w:t xml:space="preserve">2. Absent proof of actual damages flowing from an insurer’s bad faith breach of insurance contract, the plaintiff is not entitled to punitive damages as a matter of law. </w:t>
      </w:r>
      <w:r w:rsidRPr="00370240">
        <w:rPr>
          <w:rFonts w:eastAsia="Times New Roman"/>
          <w:b/>
          <w:sz w:val="24"/>
          <w:szCs w:val="24"/>
        </w:rPr>
        <w:t>City of Westminster v. Centric-Jones Constructors</w:t>
      </w:r>
      <w:r w:rsidRPr="00370240">
        <w:rPr>
          <w:rFonts w:eastAsia="Times New Roman"/>
          <w:sz w:val="24"/>
          <w:szCs w:val="24"/>
        </w:rPr>
        <w:t>, 100 P.3d 472 (Colo. App. 2003).</w:t>
      </w:r>
    </w:p>
    <w:p w14:paraId="0DE64881" w14:textId="77777777" w:rsidR="00370240" w:rsidRPr="00370240" w:rsidRDefault="00370240" w:rsidP="00370240">
      <w:pPr>
        <w:spacing w:after="240"/>
        <w:ind w:firstLine="720"/>
        <w:rPr>
          <w:rFonts w:eastAsia="Times New Roman"/>
          <w:sz w:val="24"/>
          <w:szCs w:val="24"/>
        </w:rPr>
      </w:pPr>
      <w:r w:rsidRPr="00370240">
        <w:rPr>
          <w:rFonts w:eastAsia="Times New Roman"/>
          <w:sz w:val="24"/>
          <w:szCs w:val="24"/>
        </w:rPr>
        <w:t xml:space="preserve">3. The fact that an insured’s proof is sufficient to support an award for bad faith breach of insurance contract does not alone establish a claim for punitive damages. </w:t>
      </w:r>
      <w:r w:rsidRPr="00370240">
        <w:rPr>
          <w:rFonts w:eastAsia="Times New Roman"/>
          <w:b/>
          <w:sz w:val="24"/>
          <w:szCs w:val="24"/>
        </w:rPr>
        <w:t>Farmers Grp., Inc. v. Trimble</w:t>
      </w:r>
      <w:r w:rsidRPr="00370240">
        <w:rPr>
          <w:rFonts w:eastAsia="Times New Roman"/>
          <w:sz w:val="24"/>
          <w:szCs w:val="24"/>
        </w:rPr>
        <w:t xml:space="preserve">, 768 P.2d 1243 (Colo. App. 1988), </w:t>
      </w:r>
      <w:r w:rsidRPr="00370240">
        <w:rPr>
          <w:rFonts w:eastAsia="Times New Roman"/>
          <w:i/>
          <w:sz w:val="24"/>
          <w:szCs w:val="24"/>
        </w:rPr>
        <w:t>overruled on other grounds by</w:t>
      </w:r>
      <w:r w:rsidRPr="00370240">
        <w:rPr>
          <w:rFonts w:eastAsia="Times New Roman"/>
          <w:sz w:val="24"/>
          <w:szCs w:val="24"/>
        </w:rPr>
        <w:t xml:space="preserve"> </w:t>
      </w:r>
      <w:r w:rsidRPr="00370240">
        <w:rPr>
          <w:rFonts w:eastAsia="Times New Roman"/>
          <w:b/>
          <w:sz w:val="24"/>
          <w:szCs w:val="24"/>
        </w:rPr>
        <w:t>Goodson v. Am. Standard Ins. Co.</w:t>
      </w:r>
      <w:r w:rsidRPr="00370240">
        <w:rPr>
          <w:rFonts w:eastAsia="Times New Roman"/>
          <w:sz w:val="24"/>
          <w:szCs w:val="24"/>
        </w:rPr>
        <w:t xml:space="preserve">, 89 P.3d 409 (Colo. 2004). The insured must, as with all claims for punitive damages, establish the requisite circumstances of fraud, malice, or willful and wanton conduct before a claim for punitive damages may be properly submitted to the factfinder. </w:t>
      </w:r>
      <w:r w:rsidRPr="00370240">
        <w:rPr>
          <w:rFonts w:eastAsia="Times New Roman"/>
          <w:b/>
          <w:sz w:val="24"/>
          <w:szCs w:val="24"/>
        </w:rPr>
        <w:t>Ballow v. PHICO Ins. Co.</w:t>
      </w:r>
      <w:r w:rsidRPr="00370240">
        <w:rPr>
          <w:rFonts w:eastAsia="Times New Roman"/>
          <w:sz w:val="24"/>
          <w:szCs w:val="24"/>
        </w:rPr>
        <w:t xml:space="preserve">, 878 P.2d 672 (Colo. 1994). </w:t>
      </w:r>
    </w:p>
    <w:p w14:paraId="5678301D" w14:textId="77777777" w:rsidR="00370240" w:rsidRPr="0054263B" w:rsidRDefault="00370240" w:rsidP="00370240">
      <w:pPr>
        <w:keepNext/>
        <w:spacing w:after="240"/>
        <w:jc w:val="center"/>
        <w:rPr>
          <w:rFonts w:eastAsia="Times New Roman"/>
          <w:b/>
          <w:sz w:val="24"/>
          <w:szCs w:val="24"/>
        </w:rPr>
      </w:pPr>
      <w:r>
        <w:rPr>
          <w:rFonts w:eastAsia="Times New Roman"/>
          <w:b/>
          <w:sz w:val="24"/>
          <w:szCs w:val="24"/>
        </w:rPr>
        <w:t>Source and Authority</w:t>
      </w:r>
    </w:p>
    <w:p w14:paraId="5BDAABAA" w14:textId="77777777" w:rsidR="00370240" w:rsidRPr="00370240" w:rsidRDefault="00370240" w:rsidP="00370240">
      <w:pPr>
        <w:spacing w:after="240"/>
        <w:ind w:firstLine="720"/>
        <w:rPr>
          <w:rFonts w:eastAsia="Times New Roman"/>
          <w:sz w:val="24"/>
          <w:szCs w:val="24"/>
        </w:rPr>
      </w:pPr>
      <w:r w:rsidRPr="00370240">
        <w:rPr>
          <w:rFonts w:eastAsia="Times New Roman"/>
          <w:sz w:val="24"/>
          <w:szCs w:val="24"/>
        </w:rPr>
        <w:t xml:space="preserve">1. This instruction is supported by section 13-21-102, C.R.S.; </w:t>
      </w:r>
      <w:r w:rsidRPr="00370240">
        <w:rPr>
          <w:rFonts w:eastAsia="Times New Roman"/>
          <w:b/>
          <w:sz w:val="24"/>
          <w:szCs w:val="24"/>
        </w:rPr>
        <w:t>Ballow</w:t>
      </w:r>
      <w:r w:rsidRPr="00370240">
        <w:rPr>
          <w:rFonts w:eastAsia="Times New Roman"/>
          <w:sz w:val="24"/>
          <w:szCs w:val="24"/>
        </w:rPr>
        <w:t xml:space="preserve">, 878 P.2d at 682; and </w:t>
      </w:r>
      <w:r w:rsidRPr="00370240">
        <w:rPr>
          <w:rFonts w:eastAsia="Times New Roman"/>
          <w:b/>
          <w:sz w:val="24"/>
          <w:szCs w:val="24"/>
        </w:rPr>
        <w:t>Trimble</w:t>
      </w:r>
      <w:r w:rsidRPr="00370240">
        <w:rPr>
          <w:rFonts w:eastAsia="Times New Roman"/>
          <w:sz w:val="24"/>
          <w:szCs w:val="24"/>
        </w:rPr>
        <w:t>, 768 P.2d at 1247.</w:t>
      </w:r>
    </w:p>
    <w:p w14:paraId="6EF87E82" w14:textId="77777777" w:rsidR="00370240" w:rsidRPr="00370240" w:rsidRDefault="00370240" w:rsidP="00370240">
      <w:pPr>
        <w:spacing w:after="240"/>
        <w:ind w:firstLine="720"/>
        <w:rPr>
          <w:rFonts w:eastAsia="Times New Roman"/>
          <w:sz w:val="24"/>
          <w:szCs w:val="24"/>
        </w:rPr>
      </w:pPr>
      <w:r w:rsidRPr="00370240">
        <w:rPr>
          <w:rFonts w:eastAsia="Times New Roman"/>
          <w:sz w:val="24"/>
          <w:szCs w:val="24"/>
        </w:rPr>
        <w:t xml:space="preserve">2. Punitive damages are not ordinarily recoverable in a breach of contract case, </w:t>
      </w:r>
      <w:r w:rsidRPr="00370240">
        <w:rPr>
          <w:rFonts w:eastAsia="Times New Roman"/>
          <w:b/>
          <w:sz w:val="24"/>
          <w:szCs w:val="24"/>
        </w:rPr>
        <w:t>Mortgage Fin., Inc. v. Podleski</w:t>
      </w:r>
      <w:r w:rsidRPr="00370240">
        <w:rPr>
          <w:rFonts w:eastAsia="Times New Roman"/>
          <w:sz w:val="24"/>
          <w:szCs w:val="24"/>
        </w:rPr>
        <w:t xml:space="preserve">, 742 P.2d 900 (Colo. 1987), but because bad faith breach of insurance contract is a tort, punitive damages may be awarded in an appropriate case. </w:t>
      </w:r>
      <w:r w:rsidRPr="00370240">
        <w:rPr>
          <w:rFonts w:eastAsia="Times New Roman"/>
          <w:b/>
          <w:sz w:val="24"/>
          <w:szCs w:val="24"/>
        </w:rPr>
        <w:t>Ballow</w:t>
      </w:r>
      <w:r w:rsidRPr="00370240">
        <w:rPr>
          <w:rFonts w:eastAsia="Times New Roman"/>
          <w:sz w:val="24"/>
          <w:szCs w:val="24"/>
        </w:rPr>
        <w:t xml:space="preserve">, 878 P.2d at 682; </w:t>
      </w:r>
      <w:r w:rsidRPr="00370240">
        <w:rPr>
          <w:rFonts w:eastAsia="Times New Roman"/>
          <w:b/>
          <w:sz w:val="24"/>
          <w:szCs w:val="24"/>
        </w:rPr>
        <w:t>Miller v. Byrne</w:t>
      </w:r>
      <w:r w:rsidRPr="00370240">
        <w:rPr>
          <w:rFonts w:eastAsia="Times New Roman"/>
          <w:sz w:val="24"/>
          <w:szCs w:val="24"/>
        </w:rPr>
        <w:t xml:space="preserve">, 916 P.2d 566 (Colo. App. 1995); </w:t>
      </w:r>
      <w:r w:rsidRPr="00370240">
        <w:rPr>
          <w:rFonts w:eastAsia="Times New Roman"/>
          <w:b/>
          <w:sz w:val="24"/>
          <w:szCs w:val="24"/>
        </w:rPr>
        <w:t>Surdyka v. DeWitt</w:t>
      </w:r>
      <w:r w:rsidRPr="00370240">
        <w:rPr>
          <w:rFonts w:eastAsia="Times New Roman"/>
          <w:sz w:val="24"/>
          <w:szCs w:val="24"/>
        </w:rPr>
        <w:t>, 784 P.2d 819 (Colo. App. 1989).</w:t>
      </w:r>
    </w:p>
    <w:p w14:paraId="4E1A34B1" w14:textId="77777777" w:rsidR="00370240" w:rsidRPr="00370240" w:rsidRDefault="00370240" w:rsidP="00370240">
      <w:pPr>
        <w:spacing w:after="240"/>
        <w:ind w:firstLine="720"/>
        <w:rPr>
          <w:rFonts w:eastAsia="Times New Roman"/>
          <w:sz w:val="24"/>
          <w:szCs w:val="24"/>
        </w:rPr>
      </w:pPr>
      <w:r w:rsidRPr="00370240">
        <w:rPr>
          <w:rFonts w:eastAsia="Times New Roman"/>
          <w:sz w:val="24"/>
          <w:szCs w:val="24"/>
        </w:rPr>
        <w:t xml:space="preserve">3. An insurer’s failure to conduct a reasonable investigation in its handling of a claim may be sufficient to support a punitive damages claim. </w:t>
      </w:r>
      <w:r w:rsidRPr="00370240">
        <w:rPr>
          <w:rFonts w:eastAsia="Times New Roman"/>
          <w:b/>
          <w:sz w:val="24"/>
          <w:szCs w:val="24"/>
        </w:rPr>
        <w:t>Giampapa v. Am. Family Mut. Ins. Co.</w:t>
      </w:r>
      <w:r w:rsidRPr="00370240">
        <w:rPr>
          <w:rFonts w:eastAsia="Times New Roman"/>
          <w:sz w:val="24"/>
          <w:szCs w:val="24"/>
        </w:rPr>
        <w:t>,</w:t>
      </w:r>
      <w:r w:rsidRPr="00370240">
        <w:rPr>
          <w:rFonts w:eastAsia="Times New Roman"/>
          <w:b/>
          <w:sz w:val="24"/>
          <w:szCs w:val="24"/>
        </w:rPr>
        <w:t xml:space="preserve"> </w:t>
      </w:r>
      <w:r w:rsidRPr="00370240">
        <w:rPr>
          <w:rFonts w:eastAsia="Times New Roman"/>
          <w:sz w:val="24"/>
          <w:szCs w:val="24"/>
        </w:rPr>
        <w:t xml:space="preserve">919 P.2d 838 (Colo. App. 1995) (punitive damages award affirmed where insurer failed to conduct any investigation into medical necessity of claim and violated statutory requirements); </w:t>
      </w:r>
      <w:r w:rsidRPr="00370240">
        <w:rPr>
          <w:rFonts w:eastAsia="Times New Roman"/>
          <w:b/>
          <w:sz w:val="24"/>
          <w:szCs w:val="24"/>
        </w:rPr>
        <w:t>Burgess v. Mid-Century Ins. Co.</w:t>
      </w:r>
      <w:r w:rsidRPr="00370240">
        <w:rPr>
          <w:rFonts w:eastAsia="Times New Roman"/>
          <w:sz w:val="24"/>
          <w:szCs w:val="24"/>
        </w:rPr>
        <w:t xml:space="preserve">, 841 P.2d 325 (Colo. App. 1992) (insurer’s deviation from industry standards and failure to follow its own investigative procedures sufficient to support punitive damage award); </w:t>
      </w:r>
      <w:r w:rsidRPr="00370240">
        <w:rPr>
          <w:rFonts w:eastAsia="Times New Roman"/>
          <w:b/>
          <w:sz w:val="24"/>
          <w:szCs w:val="24"/>
        </w:rPr>
        <w:t>Brewer v. Am. &amp; Foreign Ins. Co.</w:t>
      </w:r>
      <w:r w:rsidRPr="00370240">
        <w:rPr>
          <w:rFonts w:eastAsia="Times New Roman"/>
          <w:sz w:val="24"/>
          <w:szCs w:val="24"/>
        </w:rPr>
        <w:t xml:space="preserve">, 837 P.2d 236 (Colo. App. 1992) (same). Similarly, a liability insurer’s improper handling of a settlement offer may result in a punitive damages claim being submitted to a jury. </w:t>
      </w:r>
      <w:r w:rsidRPr="00370240">
        <w:rPr>
          <w:rFonts w:eastAsia="Times New Roman"/>
          <w:b/>
          <w:sz w:val="24"/>
          <w:szCs w:val="24"/>
        </w:rPr>
        <w:t>Miller</w:t>
      </w:r>
      <w:r w:rsidRPr="00370240">
        <w:rPr>
          <w:rFonts w:eastAsia="Times New Roman"/>
          <w:sz w:val="24"/>
          <w:szCs w:val="24"/>
        </w:rPr>
        <w:t>, 916 P.2d at 580 (submission of punitive damages issue to jury was proper where insurer rejected settlement offer and made counteroffer for less than policy limits despite believing that case’s value exceeded policy limits, without communicating these actions to the insured).</w:t>
      </w:r>
    </w:p>
    <w:p w14:paraId="5E6440B1" w14:textId="77777777" w:rsidR="00370240" w:rsidRPr="00370240" w:rsidRDefault="00370240" w:rsidP="00370240">
      <w:pPr>
        <w:spacing w:after="240"/>
        <w:ind w:firstLine="720"/>
        <w:rPr>
          <w:rFonts w:eastAsia="Times New Roman"/>
          <w:sz w:val="24"/>
          <w:szCs w:val="24"/>
        </w:rPr>
      </w:pPr>
      <w:r w:rsidRPr="00370240">
        <w:rPr>
          <w:rFonts w:eastAsia="Times New Roman"/>
          <w:sz w:val="24"/>
          <w:szCs w:val="24"/>
        </w:rPr>
        <w:t xml:space="preserve">4. The statutory language regarding enhancement of punitive damages, § 13-21-102(3), is permissive rather than mandatory and the trial court is entrusted with sound discretion in </w:t>
      </w:r>
      <w:r w:rsidRPr="00370240">
        <w:rPr>
          <w:rFonts w:eastAsia="Times New Roman"/>
          <w:sz w:val="24"/>
          <w:szCs w:val="24"/>
        </w:rPr>
        <w:lastRenderedPageBreak/>
        <w:t>exercising its authority</w:t>
      </w:r>
      <w:r w:rsidRPr="00370240">
        <w:rPr>
          <w:rFonts w:eastAsia="Times New Roman"/>
          <w:b/>
          <w:sz w:val="24"/>
          <w:szCs w:val="24"/>
        </w:rPr>
        <w:t>. Harvey v. Farmers Ins. Exch.</w:t>
      </w:r>
      <w:r w:rsidRPr="00370240">
        <w:rPr>
          <w:rFonts w:eastAsia="Times New Roman"/>
          <w:sz w:val="24"/>
          <w:szCs w:val="24"/>
        </w:rPr>
        <w:t>,</w:t>
      </w:r>
      <w:r w:rsidRPr="00370240">
        <w:rPr>
          <w:rFonts w:eastAsia="Times New Roman"/>
          <w:b/>
          <w:sz w:val="24"/>
          <w:szCs w:val="24"/>
        </w:rPr>
        <w:t xml:space="preserve"> </w:t>
      </w:r>
      <w:r w:rsidRPr="00370240">
        <w:rPr>
          <w:rFonts w:eastAsia="Times New Roman"/>
          <w:sz w:val="24"/>
          <w:szCs w:val="24"/>
        </w:rPr>
        <w:t xml:space="preserve">983 P.2d 34 (Colo. App. 1998), </w:t>
      </w:r>
      <w:r w:rsidRPr="00370240">
        <w:rPr>
          <w:rFonts w:eastAsia="Times New Roman"/>
          <w:i/>
          <w:sz w:val="24"/>
          <w:szCs w:val="24"/>
        </w:rPr>
        <w:t>aff’d on other grounds sub nom.</w:t>
      </w:r>
      <w:r w:rsidRPr="00370240">
        <w:rPr>
          <w:rFonts w:eastAsia="Times New Roman"/>
          <w:sz w:val="24"/>
          <w:szCs w:val="24"/>
        </w:rPr>
        <w:t xml:space="preserve"> </w:t>
      </w:r>
      <w:r w:rsidRPr="00370240">
        <w:rPr>
          <w:rFonts w:eastAsia="Times New Roman"/>
          <w:b/>
          <w:sz w:val="24"/>
          <w:szCs w:val="24"/>
        </w:rPr>
        <w:t>Slack v. Farmers Ins. Exch.</w:t>
      </w:r>
      <w:r w:rsidRPr="00370240">
        <w:rPr>
          <w:rFonts w:eastAsia="Times New Roman"/>
          <w:sz w:val="24"/>
          <w:szCs w:val="24"/>
        </w:rPr>
        <w:t>, 5 P.3d 280 (Colo. 2000).</w:t>
      </w:r>
    </w:p>
    <w:p w14:paraId="4712B0B3" w14:textId="1902F867" w:rsidR="00BA77D6" w:rsidRDefault="00370240" w:rsidP="00370240">
      <w:pPr>
        <w:spacing w:after="240"/>
        <w:ind w:firstLine="720"/>
        <w:rPr>
          <w:rFonts w:eastAsia="Times New Roman"/>
          <w:sz w:val="24"/>
          <w:szCs w:val="24"/>
        </w:rPr>
      </w:pPr>
      <w:r w:rsidRPr="00370240">
        <w:rPr>
          <w:rFonts w:eastAsia="Times New Roman"/>
          <w:sz w:val="24"/>
          <w:szCs w:val="24"/>
        </w:rPr>
        <w:t>5.</w:t>
      </w:r>
      <w:r w:rsidR="00BA77D6" w:rsidRPr="00BA77D6">
        <w:t xml:space="preserve"> </w:t>
      </w:r>
      <w:r w:rsidR="00D259DC">
        <w:rPr>
          <w:rFonts w:eastAsia="Times New Roman"/>
          <w:sz w:val="24"/>
          <w:szCs w:val="24"/>
        </w:rPr>
        <w:t>R</w:t>
      </w:r>
      <w:r w:rsidR="00D259DC" w:rsidRPr="00BA77D6">
        <w:rPr>
          <w:rFonts w:eastAsia="Times New Roman"/>
          <w:sz w:val="24"/>
          <w:szCs w:val="24"/>
        </w:rPr>
        <w:t xml:space="preserve">easonable attorney fees and court costs </w:t>
      </w:r>
      <w:r w:rsidR="00D259DC">
        <w:rPr>
          <w:rFonts w:eastAsia="Times New Roman"/>
          <w:sz w:val="24"/>
          <w:szCs w:val="24"/>
        </w:rPr>
        <w:t>awarded under</w:t>
      </w:r>
      <w:r w:rsidR="00BA77D6" w:rsidRPr="00BA77D6">
        <w:rPr>
          <w:rFonts w:eastAsia="Times New Roman"/>
          <w:sz w:val="24"/>
          <w:szCs w:val="24"/>
        </w:rPr>
        <w:t xml:space="preserve"> section 10-3-1116(1)</w:t>
      </w:r>
      <w:r w:rsidR="00BA77D6">
        <w:rPr>
          <w:rFonts w:eastAsia="Times New Roman"/>
          <w:sz w:val="24"/>
          <w:szCs w:val="24"/>
        </w:rPr>
        <w:t>, C.R.S.</w:t>
      </w:r>
      <w:r w:rsidR="00D259DC">
        <w:rPr>
          <w:rFonts w:eastAsia="Times New Roman"/>
          <w:sz w:val="24"/>
          <w:szCs w:val="24"/>
        </w:rPr>
        <w:t>,</w:t>
      </w:r>
      <w:r w:rsidR="00BA77D6">
        <w:rPr>
          <w:rFonts w:eastAsia="Times New Roman"/>
          <w:sz w:val="24"/>
          <w:szCs w:val="24"/>
        </w:rPr>
        <w:t xml:space="preserve"> </w:t>
      </w:r>
      <w:r w:rsidR="00D259DC">
        <w:rPr>
          <w:rFonts w:eastAsia="Times New Roman"/>
          <w:sz w:val="24"/>
          <w:szCs w:val="24"/>
        </w:rPr>
        <w:t>are</w:t>
      </w:r>
      <w:r w:rsidR="00BA77D6">
        <w:rPr>
          <w:rFonts w:eastAsia="Times New Roman"/>
          <w:sz w:val="24"/>
          <w:szCs w:val="24"/>
        </w:rPr>
        <w:t xml:space="preserve"> </w:t>
      </w:r>
      <w:r w:rsidR="00BA77D6" w:rsidRPr="00BA77D6">
        <w:rPr>
          <w:rFonts w:eastAsia="Times New Roman"/>
          <w:sz w:val="24"/>
          <w:szCs w:val="24"/>
        </w:rPr>
        <w:t xml:space="preserve">actual damages that must be included in calculation of the total amount of actual damages for determination of the statutory limit of recoverable punitive damages awarded by a jury set forth in section 13-21-102(a). </w:t>
      </w:r>
      <w:r w:rsidR="00CB13C1" w:rsidRPr="00CB13C1">
        <w:rPr>
          <w:rFonts w:eastAsia="Times New Roman"/>
          <w:b/>
          <w:sz w:val="24"/>
          <w:szCs w:val="24"/>
        </w:rPr>
        <w:t xml:space="preserve">Estate of </w:t>
      </w:r>
      <w:r w:rsidR="00BA77D6" w:rsidRPr="00BA77D6">
        <w:rPr>
          <w:rFonts w:eastAsia="Times New Roman"/>
          <w:b/>
          <w:sz w:val="24"/>
          <w:szCs w:val="24"/>
        </w:rPr>
        <w:t>Casper v. Guar</w:t>
      </w:r>
      <w:r w:rsidR="00BA77D6">
        <w:rPr>
          <w:rFonts w:eastAsia="Times New Roman"/>
          <w:b/>
          <w:sz w:val="24"/>
          <w:szCs w:val="24"/>
        </w:rPr>
        <w:t>.</w:t>
      </w:r>
      <w:r w:rsidR="00BA77D6" w:rsidRPr="00BA77D6">
        <w:rPr>
          <w:rFonts w:eastAsia="Times New Roman"/>
          <w:b/>
          <w:sz w:val="24"/>
          <w:szCs w:val="24"/>
        </w:rPr>
        <w:t xml:space="preserve"> Tr</w:t>
      </w:r>
      <w:r w:rsidR="00BA77D6">
        <w:rPr>
          <w:rFonts w:eastAsia="Times New Roman"/>
          <w:b/>
          <w:sz w:val="24"/>
          <w:szCs w:val="24"/>
        </w:rPr>
        <w:t>.</w:t>
      </w:r>
      <w:r w:rsidR="00BA77D6" w:rsidRPr="00BA77D6">
        <w:rPr>
          <w:rFonts w:eastAsia="Times New Roman"/>
          <w:b/>
          <w:sz w:val="24"/>
          <w:szCs w:val="24"/>
        </w:rPr>
        <w:t xml:space="preserve"> Life Ins. Co.</w:t>
      </w:r>
      <w:r w:rsidR="00BA77D6" w:rsidRPr="00BA77D6">
        <w:rPr>
          <w:rFonts w:eastAsia="Times New Roman"/>
          <w:sz w:val="24"/>
          <w:szCs w:val="24"/>
        </w:rPr>
        <w:t xml:space="preserve">, 2016 COA 167, </w:t>
      </w:r>
      <w:r w:rsidR="00CB13C1">
        <w:rPr>
          <w:rFonts w:eastAsia="Times New Roman"/>
          <w:sz w:val="24"/>
          <w:szCs w:val="24"/>
        </w:rPr>
        <w:t xml:space="preserve">¶ 58, </w:t>
      </w:r>
      <w:r w:rsidR="00BA77D6" w:rsidRPr="00BA77D6">
        <w:rPr>
          <w:rFonts w:eastAsia="Times New Roman"/>
          <w:i/>
          <w:sz w:val="24"/>
          <w:szCs w:val="24"/>
        </w:rPr>
        <w:t>aff’d in part, rev’d in part on other grounds</w:t>
      </w:r>
      <w:r w:rsidR="00BA77D6">
        <w:rPr>
          <w:rFonts w:eastAsia="Times New Roman"/>
          <w:sz w:val="24"/>
          <w:szCs w:val="24"/>
        </w:rPr>
        <w:t>, 2018 CO 43, 418 P.3d 1163</w:t>
      </w:r>
      <w:r w:rsidR="00904756">
        <w:rPr>
          <w:rFonts w:eastAsia="Times New Roman"/>
          <w:sz w:val="24"/>
          <w:szCs w:val="24"/>
        </w:rPr>
        <w:t>.</w:t>
      </w:r>
    </w:p>
    <w:p w14:paraId="33119A2C" w14:textId="77777777" w:rsidR="00407AAB" w:rsidRPr="00EC29A6" w:rsidRDefault="00BA77D6" w:rsidP="00370240">
      <w:pPr>
        <w:spacing w:after="240"/>
        <w:ind w:firstLine="720"/>
        <w:rPr>
          <w:rFonts w:eastAsia="Times New Roman"/>
          <w:sz w:val="24"/>
          <w:szCs w:val="24"/>
        </w:rPr>
      </w:pPr>
      <w:r>
        <w:rPr>
          <w:rFonts w:eastAsia="Times New Roman"/>
          <w:sz w:val="24"/>
          <w:szCs w:val="24"/>
        </w:rPr>
        <w:t xml:space="preserve">6. </w:t>
      </w:r>
      <w:r w:rsidR="00370240" w:rsidRPr="00370240">
        <w:rPr>
          <w:rFonts w:eastAsia="Times New Roman"/>
          <w:sz w:val="24"/>
          <w:szCs w:val="24"/>
        </w:rPr>
        <w:t xml:space="preserve">Generally speaking, a punitive damages award may not exceed the amount of actual damages awarded. § 13-21-102(1)(a). However, section 13-21-102(3)(b) allows a trial court to increase any punitive damages award to a sum not to exceed three times the actual damages if, during the pendency of the action, the insurer engages in conduct that it knew or should have known would aggravate the damages to the insured. </w:t>
      </w:r>
      <w:r w:rsidR="00370240" w:rsidRPr="00370240">
        <w:rPr>
          <w:rFonts w:eastAsia="Times New Roman"/>
          <w:i/>
          <w:sz w:val="24"/>
          <w:szCs w:val="24"/>
        </w:rPr>
        <w:t>See</w:t>
      </w:r>
      <w:r w:rsidR="00370240" w:rsidRPr="00370240">
        <w:rPr>
          <w:rFonts w:eastAsia="Times New Roman"/>
          <w:sz w:val="24"/>
          <w:szCs w:val="24"/>
        </w:rPr>
        <w:t xml:space="preserve"> </w:t>
      </w:r>
      <w:r w:rsidR="00370240" w:rsidRPr="00370240">
        <w:rPr>
          <w:rFonts w:eastAsia="Times New Roman"/>
          <w:b/>
          <w:sz w:val="24"/>
          <w:szCs w:val="24"/>
        </w:rPr>
        <w:t>Coors v. Sec. Life of Denver Ins. Co.</w:t>
      </w:r>
      <w:r w:rsidR="00370240" w:rsidRPr="00370240">
        <w:rPr>
          <w:rFonts w:eastAsia="Times New Roman"/>
          <w:sz w:val="24"/>
          <w:szCs w:val="24"/>
        </w:rPr>
        <w:t>,</w:t>
      </w:r>
      <w:r w:rsidR="00370240" w:rsidRPr="00370240">
        <w:rPr>
          <w:rFonts w:eastAsia="Times New Roman"/>
          <w:b/>
          <w:sz w:val="24"/>
          <w:szCs w:val="24"/>
        </w:rPr>
        <w:t xml:space="preserve"> </w:t>
      </w:r>
      <w:r w:rsidR="00370240" w:rsidRPr="00370240">
        <w:rPr>
          <w:rFonts w:eastAsia="Times New Roman"/>
          <w:sz w:val="24"/>
          <w:szCs w:val="24"/>
        </w:rPr>
        <w:t xml:space="preserve">112 P.3d 59 (Colo. 2005) (authorizing punitive damages award based on trial court’s findings on different claim and determining that trebling of punitive damages award was appropriate given defendant’s behavior during pendency of case); </w:t>
      </w:r>
      <w:r w:rsidR="00370240" w:rsidRPr="00370240">
        <w:rPr>
          <w:rFonts w:eastAsia="Times New Roman"/>
          <w:b/>
          <w:sz w:val="24"/>
          <w:szCs w:val="24"/>
        </w:rPr>
        <w:t>Tait v. Hartford Underwriters Ins. Co.</w:t>
      </w:r>
      <w:r w:rsidR="00370240" w:rsidRPr="00370240">
        <w:rPr>
          <w:rFonts w:eastAsia="Times New Roman"/>
          <w:sz w:val="24"/>
          <w:szCs w:val="24"/>
        </w:rPr>
        <w:t xml:space="preserve">, 49 P.3d 337 (Colo. App. 2001) (increase of punitive damage award under section 13-21-102(3)(a) affirmed where insurer sought removal to defeat state statute giving preferential trial dates to elderly plaintiffs, abused discovery process, and delegated to defense counsel its continuing obligations to the insured); </w:t>
      </w:r>
      <w:r w:rsidR="00370240" w:rsidRPr="00370240">
        <w:rPr>
          <w:rFonts w:eastAsia="Times New Roman"/>
          <w:b/>
          <w:sz w:val="24"/>
          <w:szCs w:val="24"/>
        </w:rPr>
        <w:t>Harvey</w:t>
      </w:r>
      <w:r w:rsidR="00370240" w:rsidRPr="00370240">
        <w:rPr>
          <w:rFonts w:eastAsia="Times New Roman"/>
          <w:sz w:val="24"/>
          <w:szCs w:val="24"/>
        </w:rPr>
        <w:t>, 983 P.2d at 40 (trial court acted within its discretion in declining to treble punitive damage award where insurer’s continuing course of conduct was controverted and not sufficiently compelling to warrant reversal).</w:t>
      </w:r>
    </w:p>
    <w:sectPr w:rsidR="00407AAB" w:rsidRPr="00EC29A6" w:rsidSect="0054263B">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99D41" w14:textId="77777777" w:rsidR="00D561C1" w:rsidRDefault="00D561C1" w:rsidP="0054263B">
      <w:r>
        <w:separator/>
      </w:r>
    </w:p>
    <w:p w14:paraId="18E2C9BE" w14:textId="77777777" w:rsidR="00D561C1" w:rsidRDefault="00D561C1"/>
  </w:endnote>
  <w:endnote w:type="continuationSeparator" w:id="0">
    <w:p w14:paraId="0459D574" w14:textId="77777777" w:rsidR="00D561C1" w:rsidRDefault="00D561C1" w:rsidP="0054263B">
      <w:r>
        <w:continuationSeparator/>
      </w:r>
    </w:p>
    <w:p w14:paraId="055E7160" w14:textId="77777777" w:rsidR="00D561C1" w:rsidRDefault="00D561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704159"/>
      <w:docPartObj>
        <w:docPartGallery w:val="Page Numbers (Bottom of Page)"/>
        <w:docPartUnique/>
      </w:docPartObj>
    </w:sdtPr>
    <w:sdtEndPr>
      <w:rPr>
        <w:noProof/>
      </w:rPr>
    </w:sdtEndPr>
    <w:sdtContent>
      <w:p w14:paraId="67194C38" w14:textId="77777777" w:rsidR="00211BAE" w:rsidRDefault="00211BAE">
        <w:pPr>
          <w:pStyle w:val="Footer"/>
          <w:jc w:val="center"/>
        </w:pPr>
        <w:r>
          <w:fldChar w:fldCharType="begin"/>
        </w:r>
        <w:r>
          <w:instrText xml:space="preserve"> PAGE   \* MERGEFORMAT </w:instrText>
        </w:r>
        <w:r>
          <w:fldChar w:fldCharType="separate"/>
        </w:r>
        <w:r w:rsidR="00657576">
          <w:rPr>
            <w:noProof/>
          </w:rPr>
          <w:t>6</w:t>
        </w:r>
        <w:r>
          <w:rPr>
            <w:noProof/>
          </w:rPr>
          <w:fldChar w:fldCharType="end"/>
        </w:r>
      </w:p>
    </w:sdtContent>
  </w:sdt>
  <w:p w14:paraId="508DF575" w14:textId="77777777" w:rsidR="00211BAE" w:rsidRDefault="00211BAE">
    <w:pPr>
      <w:pStyle w:val="Footer"/>
    </w:pPr>
  </w:p>
  <w:p w14:paraId="710E5FAB" w14:textId="77777777" w:rsidR="00211BAE" w:rsidRDefault="00211BA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61B97" w14:textId="77777777" w:rsidR="00D561C1" w:rsidRDefault="00D561C1" w:rsidP="0054263B">
      <w:r>
        <w:separator/>
      </w:r>
    </w:p>
    <w:p w14:paraId="463D608C" w14:textId="77777777" w:rsidR="00D561C1" w:rsidRDefault="00D561C1"/>
  </w:footnote>
  <w:footnote w:type="continuationSeparator" w:id="0">
    <w:p w14:paraId="130DFC49" w14:textId="77777777" w:rsidR="00D561C1" w:rsidRDefault="00D561C1" w:rsidP="0054263B">
      <w:r>
        <w:continuationSeparator/>
      </w:r>
    </w:p>
    <w:p w14:paraId="1A9449EC" w14:textId="77777777" w:rsidR="00D561C1" w:rsidRDefault="00D561C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9864C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3E12800"/>
    <w:multiLevelType w:val="hybridMultilevel"/>
    <w:tmpl w:val="EE549AD0"/>
    <w:lvl w:ilvl="0" w:tplc="F104B9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39341966">
    <w:abstractNumId w:val="0"/>
  </w:num>
  <w:num w:numId="2" w16cid:durableId="20168799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C98"/>
    <w:rsid w:val="00002171"/>
    <w:rsid w:val="000029B0"/>
    <w:rsid w:val="00004B85"/>
    <w:rsid w:val="0000771A"/>
    <w:rsid w:val="00010330"/>
    <w:rsid w:val="00016353"/>
    <w:rsid w:val="00020CF1"/>
    <w:rsid w:val="000336A6"/>
    <w:rsid w:val="00037111"/>
    <w:rsid w:val="00040249"/>
    <w:rsid w:val="000407F2"/>
    <w:rsid w:val="00041768"/>
    <w:rsid w:val="00043B25"/>
    <w:rsid w:val="0006367C"/>
    <w:rsid w:val="0007116C"/>
    <w:rsid w:val="0007187A"/>
    <w:rsid w:val="00074558"/>
    <w:rsid w:val="000821FF"/>
    <w:rsid w:val="000823BC"/>
    <w:rsid w:val="000824C8"/>
    <w:rsid w:val="00085495"/>
    <w:rsid w:val="000921F1"/>
    <w:rsid w:val="0009462F"/>
    <w:rsid w:val="000962C8"/>
    <w:rsid w:val="000A040F"/>
    <w:rsid w:val="000A32FE"/>
    <w:rsid w:val="000A62E6"/>
    <w:rsid w:val="000A79D0"/>
    <w:rsid w:val="000B1B7A"/>
    <w:rsid w:val="000C1393"/>
    <w:rsid w:val="000C204E"/>
    <w:rsid w:val="000C503A"/>
    <w:rsid w:val="000C6F97"/>
    <w:rsid w:val="000D0CA5"/>
    <w:rsid w:val="000D4856"/>
    <w:rsid w:val="000E0805"/>
    <w:rsid w:val="000E55ED"/>
    <w:rsid w:val="000F205C"/>
    <w:rsid w:val="001007E7"/>
    <w:rsid w:val="00100D6D"/>
    <w:rsid w:val="00101A07"/>
    <w:rsid w:val="0010273B"/>
    <w:rsid w:val="00107079"/>
    <w:rsid w:val="001117D9"/>
    <w:rsid w:val="00112C8E"/>
    <w:rsid w:val="00112FF9"/>
    <w:rsid w:val="001134B3"/>
    <w:rsid w:val="00116A3D"/>
    <w:rsid w:val="00125209"/>
    <w:rsid w:val="0012548C"/>
    <w:rsid w:val="00126B7A"/>
    <w:rsid w:val="001300D4"/>
    <w:rsid w:val="001303C5"/>
    <w:rsid w:val="0013740F"/>
    <w:rsid w:val="00143A15"/>
    <w:rsid w:val="00144917"/>
    <w:rsid w:val="001512B3"/>
    <w:rsid w:val="00157C2C"/>
    <w:rsid w:val="001608FF"/>
    <w:rsid w:val="001671A9"/>
    <w:rsid w:val="00167B70"/>
    <w:rsid w:val="00171705"/>
    <w:rsid w:val="001723F9"/>
    <w:rsid w:val="00172674"/>
    <w:rsid w:val="00174BB5"/>
    <w:rsid w:val="00177B1D"/>
    <w:rsid w:val="0018388B"/>
    <w:rsid w:val="00184D62"/>
    <w:rsid w:val="001857B3"/>
    <w:rsid w:val="001903CB"/>
    <w:rsid w:val="001913B1"/>
    <w:rsid w:val="00191498"/>
    <w:rsid w:val="00191C86"/>
    <w:rsid w:val="00193B75"/>
    <w:rsid w:val="00195972"/>
    <w:rsid w:val="001A2648"/>
    <w:rsid w:val="001A311C"/>
    <w:rsid w:val="001A688B"/>
    <w:rsid w:val="001B757B"/>
    <w:rsid w:val="001C2259"/>
    <w:rsid w:val="001D31A6"/>
    <w:rsid w:val="001D663D"/>
    <w:rsid w:val="001D703D"/>
    <w:rsid w:val="001E0F3B"/>
    <w:rsid w:val="001E1DB5"/>
    <w:rsid w:val="001F0193"/>
    <w:rsid w:val="00200BA5"/>
    <w:rsid w:val="00202B81"/>
    <w:rsid w:val="0020511A"/>
    <w:rsid w:val="002065D8"/>
    <w:rsid w:val="0021015B"/>
    <w:rsid w:val="00211BAE"/>
    <w:rsid w:val="0021368F"/>
    <w:rsid w:val="0021730E"/>
    <w:rsid w:val="00217435"/>
    <w:rsid w:val="0022134E"/>
    <w:rsid w:val="00223286"/>
    <w:rsid w:val="00224466"/>
    <w:rsid w:val="00227D3A"/>
    <w:rsid w:val="00231719"/>
    <w:rsid w:val="00231BC4"/>
    <w:rsid w:val="00232C53"/>
    <w:rsid w:val="0024003A"/>
    <w:rsid w:val="0024062B"/>
    <w:rsid w:val="002455E4"/>
    <w:rsid w:val="0024568D"/>
    <w:rsid w:val="0024597C"/>
    <w:rsid w:val="00245F75"/>
    <w:rsid w:val="00254258"/>
    <w:rsid w:val="002547C3"/>
    <w:rsid w:val="00256367"/>
    <w:rsid w:val="00256DA4"/>
    <w:rsid w:val="00260EDB"/>
    <w:rsid w:val="0026314C"/>
    <w:rsid w:val="00263CBD"/>
    <w:rsid w:val="002654B4"/>
    <w:rsid w:val="00267805"/>
    <w:rsid w:val="00273777"/>
    <w:rsid w:val="0027486C"/>
    <w:rsid w:val="002802F4"/>
    <w:rsid w:val="00283A61"/>
    <w:rsid w:val="00285E45"/>
    <w:rsid w:val="00286B57"/>
    <w:rsid w:val="00290935"/>
    <w:rsid w:val="0029157D"/>
    <w:rsid w:val="00293941"/>
    <w:rsid w:val="00293F7E"/>
    <w:rsid w:val="002A23B0"/>
    <w:rsid w:val="002A6EC7"/>
    <w:rsid w:val="002B5FCF"/>
    <w:rsid w:val="002D0987"/>
    <w:rsid w:val="002D163D"/>
    <w:rsid w:val="002D239C"/>
    <w:rsid w:val="002E0970"/>
    <w:rsid w:val="002E562A"/>
    <w:rsid w:val="002E5708"/>
    <w:rsid w:val="002F0E75"/>
    <w:rsid w:val="002F48D6"/>
    <w:rsid w:val="00303A7D"/>
    <w:rsid w:val="00304398"/>
    <w:rsid w:val="00305CB3"/>
    <w:rsid w:val="00305D08"/>
    <w:rsid w:val="00316D33"/>
    <w:rsid w:val="00320613"/>
    <w:rsid w:val="00322169"/>
    <w:rsid w:val="0032367C"/>
    <w:rsid w:val="003247EA"/>
    <w:rsid w:val="003259EE"/>
    <w:rsid w:val="003332F4"/>
    <w:rsid w:val="00333886"/>
    <w:rsid w:val="00335934"/>
    <w:rsid w:val="00336CE4"/>
    <w:rsid w:val="00343069"/>
    <w:rsid w:val="00345533"/>
    <w:rsid w:val="00351136"/>
    <w:rsid w:val="00352111"/>
    <w:rsid w:val="00352433"/>
    <w:rsid w:val="00352696"/>
    <w:rsid w:val="00353044"/>
    <w:rsid w:val="003613FE"/>
    <w:rsid w:val="00370240"/>
    <w:rsid w:val="00371D9F"/>
    <w:rsid w:val="00382177"/>
    <w:rsid w:val="003837B6"/>
    <w:rsid w:val="00392F02"/>
    <w:rsid w:val="003937B8"/>
    <w:rsid w:val="003A2F1C"/>
    <w:rsid w:val="003A5A75"/>
    <w:rsid w:val="003B5ABE"/>
    <w:rsid w:val="003B5F85"/>
    <w:rsid w:val="003B72A9"/>
    <w:rsid w:val="003D027F"/>
    <w:rsid w:val="003D07E0"/>
    <w:rsid w:val="003D1B54"/>
    <w:rsid w:val="003D1CAB"/>
    <w:rsid w:val="003D370E"/>
    <w:rsid w:val="003D50A2"/>
    <w:rsid w:val="003E472A"/>
    <w:rsid w:val="003E5B38"/>
    <w:rsid w:val="003E604A"/>
    <w:rsid w:val="003F108C"/>
    <w:rsid w:val="003F6E89"/>
    <w:rsid w:val="004001BC"/>
    <w:rsid w:val="00407AAB"/>
    <w:rsid w:val="00414C93"/>
    <w:rsid w:val="00430F1E"/>
    <w:rsid w:val="00430F64"/>
    <w:rsid w:val="00434371"/>
    <w:rsid w:val="00434650"/>
    <w:rsid w:val="004425AA"/>
    <w:rsid w:val="00456038"/>
    <w:rsid w:val="00456B2B"/>
    <w:rsid w:val="00467B80"/>
    <w:rsid w:val="0047120C"/>
    <w:rsid w:val="00471618"/>
    <w:rsid w:val="0047374D"/>
    <w:rsid w:val="00473B65"/>
    <w:rsid w:val="00474B1B"/>
    <w:rsid w:val="0048541F"/>
    <w:rsid w:val="004913D8"/>
    <w:rsid w:val="0049313F"/>
    <w:rsid w:val="00496096"/>
    <w:rsid w:val="00496567"/>
    <w:rsid w:val="004A1210"/>
    <w:rsid w:val="004A32E6"/>
    <w:rsid w:val="004B14B9"/>
    <w:rsid w:val="004B753E"/>
    <w:rsid w:val="004C1A04"/>
    <w:rsid w:val="004C6127"/>
    <w:rsid w:val="004C62F9"/>
    <w:rsid w:val="004C723A"/>
    <w:rsid w:val="004D2C99"/>
    <w:rsid w:val="004E0408"/>
    <w:rsid w:val="004E48BD"/>
    <w:rsid w:val="004E7EF1"/>
    <w:rsid w:val="004F003D"/>
    <w:rsid w:val="00502D97"/>
    <w:rsid w:val="00504A75"/>
    <w:rsid w:val="005065E6"/>
    <w:rsid w:val="0051065F"/>
    <w:rsid w:val="0051385E"/>
    <w:rsid w:val="00516447"/>
    <w:rsid w:val="0052537F"/>
    <w:rsid w:val="00525BBA"/>
    <w:rsid w:val="0052608C"/>
    <w:rsid w:val="00527A18"/>
    <w:rsid w:val="0053178D"/>
    <w:rsid w:val="00531F87"/>
    <w:rsid w:val="0053544D"/>
    <w:rsid w:val="0054263B"/>
    <w:rsid w:val="00544A0C"/>
    <w:rsid w:val="00547D97"/>
    <w:rsid w:val="00550AFD"/>
    <w:rsid w:val="00557FCC"/>
    <w:rsid w:val="005648EF"/>
    <w:rsid w:val="0057771F"/>
    <w:rsid w:val="00591E27"/>
    <w:rsid w:val="005949EE"/>
    <w:rsid w:val="005A22A6"/>
    <w:rsid w:val="005A3434"/>
    <w:rsid w:val="005B07AB"/>
    <w:rsid w:val="005B27FE"/>
    <w:rsid w:val="005B3A78"/>
    <w:rsid w:val="005C0F3A"/>
    <w:rsid w:val="005C56C9"/>
    <w:rsid w:val="005C5CCB"/>
    <w:rsid w:val="005D1AD3"/>
    <w:rsid w:val="005D3156"/>
    <w:rsid w:val="005D3F30"/>
    <w:rsid w:val="005D522C"/>
    <w:rsid w:val="005E0887"/>
    <w:rsid w:val="005E5B14"/>
    <w:rsid w:val="005E712D"/>
    <w:rsid w:val="005E7F70"/>
    <w:rsid w:val="005F1017"/>
    <w:rsid w:val="005F145C"/>
    <w:rsid w:val="005F19FD"/>
    <w:rsid w:val="005F5A94"/>
    <w:rsid w:val="005F5E0C"/>
    <w:rsid w:val="00604F03"/>
    <w:rsid w:val="006053F6"/>
    <w:rsid w:val="006229FE"/>
    <w:rsid w:val="006272FE"/>
    <w:rsid w:val="00631BFF"/>
    <w:rsid w:val="00635F37"/>
    <w:rsid w:val="006411C9"/>
    <w:rsid w:val="00642649"/>
    <w:rsid w:val="00647CC5"/>
    <w:rsid w:val="00651A64"/>
    <w:rsid w:val="00657576"/>
    <w:rsid w:val="006601C5"/>
    <w:rsid w:val="0066100E"/>
    <w:rsid w:val="00661D05"/>
    <w:rsid w:val="006646FE"/>
    <w:rsid w:val="00673F33"/>
    <w:rsid w:val="00675252"/>
    <w:rsid w:val="00682B93"/>
    <w:rsid w:val="0068336D"/>
    <w:rsid w:val="00683FA1"/>
    <w:rsid w:val="00685E76"/>
    <w:rsid w:val="00687304"/>
    <w:rsid w:val="0069494D"/>
    <w:rsid w:val="00697DF2"/>
    <w:rsid w:val="006A47FD"/>
    <w:rsid w:val="006A74B6"/>
    <w:rsid w:val="006A7F32"/>
    <w:rsid w:val="006B2457"/>
    <w:rsid w:val="006B26D7"/>
    <w:rsid w:val="006D00EC"/>
    <w:rsid w:val="006D531A"/>
    <w:rsid w:val="006E0D06"/>
    <w:rsid w:val="006E3575"/>
    <w:rsid w:val="006E62F0"/>
    <w:rsid w:val="006F0772"/>
    <w:rsid w:val="006F39C6"/>
    <w:rsid w:val="006F7581"/>
    <w:rsid w:val="006F7DC0"/>
    <w:rsid w:val="00700BF2"/>
    <w:rsid w:val="00702B5A"/>
    <w:rsid w:val="0070752A"/>
    <w:rsid w:val="007119D8"/>
    <w:rsid w:val="0071225B"/>
    <w:rsid w:val="00712E33"/>
    <w:rsid w:val="00713866"/>
    <w:rsid w:val="007216DA"/>
    <w:rsid w:val="00724230"/>
    <w:rsid w:val="00726E21"/>
    <w:rsid w:val="0073147A"/>
    <w:rsid w:val="007340B5"/>
    <w:rsid w:val="007532AB"/>
    <w:rsid w:val="007571AF"/>
    <w:rsid w:val="00764553"/>
    <w:rsid w:val="00764D93"/>
    <w:rsid w:val="007655D6"/>
    <w:rsid w:val="0076649E"/>
    <w:rsid w:val="00766F81"/>
    <w:rsid w:val="00770FFC"/>
    <w:rsid w:val="00787065"/>
    <w:rsid w:val="00792028"/>
    <w:rsid w:val="007A3A0E"/>
    <w:rsid w:val="007A56C2"/>
    <w:rsid w:val="007A612E"/>
    <w:rsid w:val="007B1633"/>
    <w:rsid w:val="007B35B5"/>
    <w:rsid w:val="007C42D5"/>
    <w:rsid w:val="007C4B23"/>
    <w:rsid w:val="007D168F"/>
    <w:rsid w:val="007D198E"/>
    <w:rsid w:val="007D2BCE"/>
    <w:rsid w:val="007D39CC"/>
    <w:rsid w:val="007E1675"/>
    <w:rsid w:val="007E515A"/>
    <w:rsid w:val="007F08D4"/>
    <w:rsid w:val="007F40A8"/>
    <w:rsid w:val="007F5724"/>
    <w:rsid w:val="007F7129"/>
    <w:rsid w:val="00801691"/>
    <w:rsid w:val="00806282"/>
    <w:rsid w:val="00806B2F"/>
    <w:rsid w:val="00813381"/>
    <w:rsid w:val="00813A6B"/>
    <w:rsid w:val="0082168C"/>
    <w:rsid w:val="00824838"/>
    <w:rsid w:val="0083254A"/>
    <w:rsid w:val="0083264A"/>
    <w:rsid w:val="00832DB4"/>
    <w:rsid w:val="0083763B"/>
    <w:rsid w:val="00837F81"/>
    <w:rsid w:val="00845F81"/>
    <w:rsid w:val="00850A48"/>
    <w:rsid w:val="00853ECF"/>
    <w:rsid w:val="008557E1"/>
    <w:rsid w:val="00857B1C"/>
    <w:rsid w:val="0086735A"/>
    <w:rsid w:val="008703EF"/>
    <w:rsid w:val="00872B38"/>
    <w:rsid w:val="00875064"/>
    <w:rsid w:val="00876A05"/>
    <w:rsid w:val="008812A8"/>
    <w:rsid w:val="00881431"/>
    <w:rsid w:val="008859AF"/>
    <w:rsid w:val="008936A1"/>
    <w:rsid w:val="00895065"/>
    <w:rsid w:val="008A1099"/>
    <w:rsid w:val="008A2986"/>
    <w:rsid w:val="008A475A"/>
    <w:rsid w:val="008A6339"/>
    <w:rsid w:val="008A637B"/>
    <w:rsid w:val="008A7B7E"/>
    <w:rsid w:val="008B0311"/>
    <w:rsid w:val="008B1617"/>
    <w:rsid w:val="008B5E97"/>
    <w:rsid w:val="008B7480"/>
    <w:rsid w:val="008C1739"/>
    <w:rsid w:val="008C2E7B"/>
    <w:rsid w:val="008C43CD"/>
    <w:rsid w:val="008C5423"/>
    <w:rsid w:val="008D2D56"/>
    <w:rsid w:val="008D4A28"/>
    <w:rsid w:val="008D609F"/>
    <w:rsid w:val="008D7ECC"/>
    <w:rsid w:val="008E41F1"/>
    <w:rsid w:val="008E51AF"/>
    <w:rsid w:val="008F19CE"/>
    <w:rsid w:val="008F3035"/>
    <w:rsid w:val="008F4C42"/>
    <w:rsid w:val="008F746C"/>
    <w:rsid w:val="009007E8"/>
    <w:rsid w:val="00900C33"/>
    <w:rsid w:val="009022AA"/>
    <w:rsid w:val="0090292A"/>
    <w:rsid w:val="00902A25"/>
    <w:rsid w:val="00904756"/>
    <w:rsid w:val="00914128"/>
    <w:rsid w:val="009256BD"/>
    <w:rsid w:val="00932723"/>
    <w:rsid w:val="00935DA8"/>
    <w:rsid w:val="00936D0A"/>
    <w:rsid w:val="00950692"/>
    <w:rsid w:val="0095289D"/>
    <w:rsid w:val="00952BBB"/>
    <w:rsid w:val="0095709A"/>
    <w:rsid w:val="009725D8"/>
    <w:rsid w:val="00973884"/>
    <w:rsid w:val="00985C32"/>
    <w:rsid w:val="009902F2"/>
    <w:rsid w:val="009931B9"/>
    <w:rsid w:val="0099627C"/>
    <w:rsid w:val="009A273C"/>
    <w:rsid w:val="009A5AA6"/>
    <w:rsid w:val="009B2577"/>
    <w:rsid w:val="009B6746"/>
    <w:rsid w:val="009C03DD"/>
    <w:rsid w:val="009C0C3F"/>
    <w:rsid w:val="009C5532"/>
    <w:rsid w:val="009D035C"/>
    <w:rsid w:val="009D3433"/>
    <w:rsid w:val="009D4ADE"/>
    <w:rsid w:val="009D7335"/>
    <w:rsid w:val="009E20C7"/>
    <w:rsid w:val="009E3DA4"/>
    <w:rsid w:val="009E5868"/>
    <w:rsid w:val="009E5CC5"/>
    <w:rsid w:val="009E7644"/>
    <w:rsid w:val="009F1548"/>
    <w:rsid w:val="009F581C"/>
    <w:rsid w:val="00A005E6"/>
    <w:rsid w:val="00A038A6"/>
    <w:rsid w:val="00A05528"/>
    <w:rsid w:val="00A06ED6"/>
    <w:rsid w:val="00A10F3D"/>
    <w:rsid w:val="00A110C7"/>
    <w:rsid w:val="00A11B93"/>
    <w:rsid w:val="00A30B0E"/>
    <w:rsid w:val="00A36457"/>
    <w:rsid w:val="00A50F20"/>
    <w:rsid w:val="00A54915"/>
    <w:rsid w:val="00A5610D"/>
    <w:rsid w:val="00A632A0"/>
    <w:rsid w:val="00A677E8"/>
    <w:rsid w:val="00A73168"/>
    <w:rsid w:val="00A73AE6"/>
    <w:rsid w:val="00A76341"/>
    <w:rsid w:val="00A80C10"/>
    <w:rsid w:val="00A82D0A"/>
    <w:rsid w:val="00A85AAA"/>
    <w:rsid w:val="00A85E65"/>
    <w:rsid w:val="00A9205E"/>
    <w:rsid w:val="00A92C18"/>
    <w:rsid w:val="00AB1D6F"/>
    <w:rsid w:val="00AB2019"/>
    <w:rsid w:val="00AB2B06"/>
    <w:rsid w:val="00AB6B20"/>
    <w:rsid w:val="00AB71A7"/>
    <w:rsid w:val="00AC78F7"/>
    <w:rsid w:val="00AD4B56"/>
    <w:rsid w:val="00AD61CD"/>
    <w:rsid w:val="00AE71EA"/>
    <w:rsid w:val="00AF40E1"/>
    <w:rsid w:val="00AF607B"/>
    <w:rsid w:val="00AF7D47"/>
    <w:rsid w:val="00B0264D"/>
    <w:rsid w:val="00B17183"/>
    <w:rsid w:val="00B258AA"/>
    <w:rsid w:val="00B27C62"/>
    <w:rsid w:val="00B338E2"/>
    <w:rsid w:val="00B35185"/>
    <w:rsid w:val="00B37722"/>
    <w:rsid w:val="00B51B95"/>
    <w:rsid w:val="00B52F38"/>
    <w:rsid w:val="00B54264"/>
    <w:rsid w:val="00B567C1"/>
    <w:rsid w:val="00B579DF"/>
    <w:rsid w:val="00B57DEA"/>
    <w:rsid w:val="00B6275E"/>
    <w:rsid w:val="00B649E0"/>
    <w:rsid w:val="00B70D68"/>
    <w:rsid w:val="00B719C2"/>
    <w:rsid w:val="00B72D6B"/>
    <w:rsid w:val="00B80472"/>
    <w:rsid w:val="00B80FD1"/>
    <w:rsid w:val="00B8438E"/>
    <w:rsid w:val="00B87A88"/>
    <w:rsid w:val="00B937E4"/>
    <w:rsid w:val="00B97801"/>
    <w:rsid w:val="00BA2389"/>
    <w:rsid w:val="00BA2682"/>
    <w:rsid w:val="00BA27A8"/>
    <w:rsid w:val="00BA510E"/>
    <w:rsid w:val="00BA77D6"/>
    <w:rsid w:val="00BB344E"/>
    <w:rsid w:val="00BB436B"/>
    <w:rsid w:val="00BB585D"/>
    <w:rsid w:val="00BC49BF"/>
    <w:rsid w:val="00BC60AE"/>
    <w:rsid w:val="00BC65EF"/>
    <w:rsid w:val="00BC789A"/>
    <w:rsid w:val="00BE15E9"/>
    <w:rsid w:val="00BE2B09"/>
    <w:rsid w:val="00BE50B9"/>
    <w:rsid w:val="00BE654D"/>
    <w:rsid w:val="00BE6634"/>
    <w:rsid w:val="00BF5DF3"/>
    <w:rsid w:val="00C059C1"/>
    <w:rsid w:val="00C161A1"/>
    <w:rsid w:val="00C21D93"/>
    <w:rsid w:val="00C225C9"/>
    <w:rsid w:val="00C235FD"/>
    <w:rsid w:val="00C26751"/>
    <w:rsid w:val="00C40968"/>
    <w:rsid w:val="00C458BA"/>
    <w:rsid w:val="00C473A2"/>
    <w:rsid w:val="00C60E95"/>
    <w:rsid w:val="00C610EC"/>
    <w:rsid w:val="00C724B6"/>
    <w:rsid w:val="00C737F1"/>
    <w:rsid w:val="00C84E71"/>
    <w:rsid w:val="00C87463"/>
    <w:rsid w:val="00C8797B"/>
    <w:rsid w:val="00C93B0B"/>
    <w:rsid w:val="00C94C5E"/>
    <w:rsid w:val="00CA41CC"/>
    <w:rsid w:val="00CA7EF2"/>
    <w:rsid w:val="00CB008B"/>
    <w:rsid w:val="00CB0E16"/>
    <w:rsid w:val="00CB13C1"/>
    <w:rsid w:val="00CB5C67"/>
    <w:rsid w:val="00CB62DC"/>
    <w:rsid w:val="00CC0502"/>
    <w:rsid w:val="00CC1AC8"/>
    <w:rsid w:val="00CC4F1D"/>
    <w:rsid w:val="00CC6A95"/>
    <w:rsid w:val="00CC7E17"/>
    <w:rsid w:val="00CD23A0"/>
    <w:rsid w:val="00CD4A7D"/>
    <w:rsid w:val="00CD5E12"/>
    <w:rsid w:val="00CE593A"/>
    <w:rsid w:val="00CE593D"/>
    <w:rsid w:val="00CF07F1"/>
    <w:rsid w:val="00CF28BF"/>
    <w:rsid w:val="00D00330"/>
    <w:rsid w:val="00D0050C"/>
    <w:rsid w:val="00D014AE"/>
    <w:rsid w:val="00D05926"/>
    <w:rsid w:val="00D06D8D"/>
    <w:rsid w:val="00D16901"/>
    <w:rsid w:val="00D22C8A"/>
    <w:rsid w:val="00D23BD0"/>
    <w:rsid w:val="00D259DC"/>
    <w:rsid w:val="00D3165A"/>
    <w:rsid w:val="00D32A43"/>
    <w:rsid w:val="00D333AA"/>
    <w:rsid w:val="00D347CA"/>
    <w:rsid w:val="00D434F5"/>
    <w:rsid w:val="00D51E80"/>
    <w:rsid w:val="00D53848"/>
    <w:rsid w:val="00D53AC5"/>
    <w:rsid w:val="00D54276"/>
    <w:rsid w:val="00D5484F"/>
    <w:rsid w:val="00D561C1"/>
    <w:rsid w:val="00D66858"/>
    <w:rsid w:val="00D72662"/>
    <w:rsid w:val="00D767EB"/>
    <w:rsid w:val="00D8125F"/>
    <w:rsid w:val="00D90E67"/>
    <w:rsid w:val="00DA0555"/>
    <w:rsid w:val="00DA1796"/>
    <w:rsid w:val="00DA2814"/>
    <w:rsid w:val="00DB16E7"/>
    <w:rsid w:val="00DB2C90"/>
    <w:rsid w:val="00DB7395"/>
    <w:rsid w:val="00DC0393"/>
    <w:rsid w:val="00DC63A9"/>
    <w:rsid w:val="00DC66A6"/>
    <w:rsid w:val="00DC7533"/>
    <w:rsid w:val="00DD54B1"/>
    <w:rsid w:val="00DE2930"/>
    <w:rsid w:val="00DF2CB7"/>
    <w:rsid w:val="00DF3BF1"/>
    <w:rsid w:val="00DF7595"/>
    <w:rsid w:val="00E007F8"/>
    <w:rsid w:val="00E025E9"/>
    <w:rsid w:val="00E058BA"/>
    <w:rsid w:val="00E111AA"/>
    <w:rsid w:val="00E121A2"/>
    <w:rsid w:val="00E15F9F"/>
    <w:rsid w:val="00E172C8"/>
    <w:rsid w:val="00E21120"/>
    <w:rsid w:val="00E23FDA"/>
    <w:rsid w:val="00E24E10"/>
    <w:rsid w:val="00E26228"/>
    <w:rsid w:val="00E2724A"/>
    <w:rsid w:val="00E30D4B"/>
    <w:rsid w:val="00E31F1C"/>
    <w:rsid w:val="00E372EA"/>
    <w:rsid w:val="00E50187"/>
    <w:rsid w:val="00E55147"/>
    <w:rsid w:val="00E551EB"/>
    <w:rsid w:val="00E65F9E"/>
    <w:rsid w:val="00E67638"/>
    <w:rsid w:val="00E706BE"/>
    <w:rsid w:val="00E70C9B"/>
    <w:rsid w:val="00E72FF1"/>
    <w:rsid w:val="00E7526A"/>
    <w:rsid w:val="00E87248"/>
    <w:rsid w:val="00E87C31"/>
    <w:rsid w:val="00E87FFB"/>
    <w:rsid w:val="00E93068"/>
    <w:rsid w:val="00E93D03"/>
    <w:rsid w:val="00E970B9"/>
    <w:rsid w:val="00EA097A"/>
    <w:rsid w:val="00EB113C"/>
    <w:rsid w:val="00EB5133"/>
    <w:rsid w:val="00EB5F71"/>
    <w:rsid w:val="00EB6247"/>
    <w:rsid w:val="00EB74DC"/>
    <w:rsid w:val="00EC0CB1"/>
    <w:rsid w:val="00EC16F4"/>
    <w:rsid w:val="00EC17E3"/>
    <w:rsid w:val="00EC29A6"/>
    <w:rsid w:val="00EC3919"/>
    <w:rsid w:val="00EC7C98"/>
    <w:rsid w:val="00ED32E8"/>
    <w:rsid w:val="00ED5E52"/>
    <w:rsid w:val="00ED7176"/>
    <w:rsid w:val="00ED75EA"/>
    <w:rsid w:val="00EE03BE"/>
    <w:rsid w:val="00EE26F9"/>
    <w:rsid w:val="00EF4043"/>
    <w:rsid w:val="00F022D4"/>
    <w:rsid w:val="00F062A4"/>
    <w:rsid w:val="00F1001E"/>
    <w:rsid w:val="00F21934"/>
    <w:rsid w:val="00F32AA4"/>
    <w:rsid w:val="00F33A2A"/>
    <w:rsid w:val="00F53569"/>
    <w:rsid w:val="00F573CF"/>
    <w:rsid w:val="00F57A2B"/>
    <w:rsid w:val="00F60050"/>
    <w:rsid w:val="00F658E5"/>
    <w:rsid w:val="00F764F4"/>
    <w:rsid w:val="00F82676"/>
    <w:rsid w:val="00F86E1F"/>
    <w:rsid w:val="00F86F49"/>
    <w:rsid w:val="00F90544"/>
    <w:rsid w:val="00F945CF"/>
    <w:rsid w:val="00F94DD6"/>
    <w:rsid w:val="00FA333E"/>
    <w:rsid w:val="00FA7B76"/>
    <w:rsid w:val="00FC544C"/>
    <w:rsid w:val="00FC70FC"/>
    <w:rsid w:val="00FD0662"/>
    <w:rsid w:val="00FD2DF4"/>
    <w:rsid w:val="00FD5FD4"/>
    <w:rsid w:val="00FD697D"/>
    <w:rsid w:val="00FD7D4E"/>
    <w:rsid w:val="00FE00D7"/>
    <w:rsid w:val="00FE156B"/>
    <w:rsid w:val="00FE1F3D"/>
    <w:rsid w:val="00FE5FC9"/>
    <w:rsid w:val="00FF1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9025A"/>
  <w15:docId w15:val="{A3C2316D-49F0-4A7A-839A-1F9E132E3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unhideWhenUsed/>
    <w:rsid w:val="00DB2C90"/>
    <w:rPr>
      <w:sz w:val="20"/>
      <w:szCs w:val="20"/>
    </w:rPr>
  </w:style>
  <w:style w:type="character" w:customStyle="1" w:styleId="CommentTextChar">
    <w:name w:val="Comment Text Char"/>
    <w:basedOn w:val="DefaultParagraphFont"/>
    <w:link w:val="CommentText"/>
    <w:uiPriority w:val="99"/>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 w:type="paragraph" w:styleId="Revision">
    <w:name w:val="Revision"/>
    <w:hidden/>
    <w:uiPriority w:val="99"/>
    <w:semiHidden/>
    <w:rsid w:val="00CF28BF"/>
    <w:rPr>
      <w:sz w:val="22"/>
      <w:szCs w:val="26"/>
    </w:rPr>
  </w:style>
  <w:style w:type="character" w:styleId="Emphasis">
    <w:name w:val="Emphasis"/>
    <w:basedOn w:val="DefaultParagraphFont"/>
    <w:uiPriority w:val="20"/>
    <w:qFormat/>
    <w:rsid w:val="009D7335"/>
    <w:rPr>
      <w:i/>
      <w:iCs/>
    </w:rPr>
  </w:style>
  <w:style w:type="character" w:customStyle="1" w:styleId="costarpage">
    <w:name w:val="co_starpage"/>
    <w:basedOn w:val="DefaultParagraphFont"/>
    <w:rsid w:val="00043B25"/>
  </w:style>
  <w:style w:type="paragraph" w:styleId="NormalWeb">
    <w:name w:val="Normal (Web)"/>
    <w:basedOn w:val="Normal"/>
    <w:uiPriority w:val="99"/>
    <w:semiHidden/>
    <w:unhideWhenUsed/>
    <w:rsid w:val="00504A75"/>
    <w:pPr>
      <w:spacing w:before="100" w:beforeAutospacing="1" w:after="100" w:afterAutospacing="1"/>
    </w:pPr>
    <w:rPr>
      <w:rFonts w:eastAsia="Times New Roman"/>
      <w:sz w:val="24"/>
      <w:szCs w:val="24"/>
    </w:rPr>
  </w:style>
  <w:style w:type="character" w:customStyle="1" w:styleId="apple-converted-space">
    <w:name w:val="apple-converted-space"/>
    <w:basedOn w:val="DefaultParagraphFont"/>
    <w:rsid w:val="00504A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2897">
      <w:bodyDiv w:val="1"/>
      <w:marLeft w:val="0"/>
      <w:marRight w:val="0"/>
      <w:marTop w:val="0"/>
      <w:marBottom w:val="0"/>
      <w:divBdr>
        <w:top w:val="none" w:sz="0" w:space="0" w:color="auto"/>
        <w:left w:val="none" w:sz="0" w:space="0" w:color="auto"/>
        <w:bottom w:val="none" w:sz="0" w:space="0" w:color="auto"/>
        <w:right w:val="none" w:sz="0" w:space="0" w:color="auto"/>
      </w:divBdr>
    </w:div>
    <w:div w:id="65497858">
      <w:bodyDiv w:val="1"/>
      <w:marLeft w:val="0"/>
      <w:marRight w:val="0"/>
      <w:marTop w:val="0"/>
      <w:marBottom w:val="0"/>
      <w:divBdr>
        <w:top w:val="none" w:sz="0" w:space="0" w:color="auto"/>
        <w:left w:val="none" w:sz="0" w:space="0" w:color="auto"/>
        <w:bottom w:val="none" w:sz="0" w:space="0" w:color="auto"/>
        <w:right w:val="none" w:sz="0" w:space="0" w:color="auto"/>
      </w:divBdr>
      <w:divsChild>
        <w:div w:id="452215316">
          <w:marLeft w:val="0"/>
          <w:marRight w:val="0"/>
          <w:marTop w:val="0"/>
          <w:marBottom w:val="0"/>
          <w:divBdr>
            <w:top w:val="none" w:sz="0" w:space="0" w:color="auto"/>
            <w:left w:val="none" w:sz="0" w:space="0" w:color="auto"/>
            <w:bottom w:val="none" w:sz="0" w:space="0" w:color="auto"/>
            <w:right w:val="none" w:sz="0" w:space="0" w:color="auto"/>
          </w:divBdr>
          <w:divsChild>
            <w:div w:id="381295165">
              <w:marLeft w:val="0"/>
              <w:marRight w:val="0"/>
              <w:marTop w:val="0"/>
              <w:marBottom w:val="0"/>
              <w:divBdr>
                <w:top w:val="none" w:sz="0" w:space="0" w:color="auto"/>
                <w:left w:val="none" w:sz="0" w:space="0" w:color="auto"/>
                <w:bottom w:val="none" w:sz="0" w:space="0" w:color="auto"/>
                <w:right w:val="none" w:sz="0" w:space="0" w:color="auto"/>
              </w:divBdr>
              <w:divsChild>
                <w:div w:id="8124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18785">
      <w:bodyDiv w:val="1"/>
      <w:marLeft w:val="0"/>
      <w:marRight w:val="0"/>
      <w:marTop w:val="0"/>
      <w:marBottom w:val="0"/>
      <w:divBdr>
        <w:top w:val="none" w:sz="0" w:space="0" w:color="auto"/>
        <w:left w:val="none" w:sz="0" w:space="0" w:color="auto"/>
        <w:bottom w:val="none" w:sz="0" w:space="0" w:color="auto"/>
        <w:right w:val="none" w:sz="0" w:space="0" w:color="auto"/>
      </w:divBdr>
    </w:div>
    <w:div w:id="89006264">
      <w:bodyDiv w:val="1"/>
      <w:marLeft w:val="0"/>
      <w:marRight w:val="0"/>
      <w:marTop w:val="0"/>
      <w:marBottom w:val="0"/>
      <w:divBdr>
        <w:top w:val="none" w:sz="0" w:space="0" w:color="auto"/>
        <w:left w:val="none" w:sz="0" w:space="0" w:color="auto"/>
        <w:bottom w:val="none" w:sz="0" w:space="0" w:color="auto"/>
        <w:right w:val="none" w:sz="0" w:space="0" w:color="auto"/>
      </w:divBdr>
    </w:div>
    <w:div w:id="270860665">
      <w:bodyDiv w:val="1"/>
      <w:marLeft w:val="0"/>
      <w:marRight w:val="0"/>
      <w:marTop w:val="0"/>
      <w:marBottom w:val="0"/>
      <w:divBdr>
        <w:top w:val="none" w:sz="0" w:space="0" w:color="auto"/>
        <w:left w:val="none" w:sz="0" w:space="0" w:color="auto"/>
        <w:bottom w:val="none" w:sz="0" w:space="0" w:color="auto"/>
        <w:right w:val="none" w:sz="0" w:space="0" w:color="auto"/>
      </w:divBdr>
    </w:div>
    <w:div w:id="296036119">
      <w:bodyDiv w:val="1"/>
      <w:marLeft w:val="0"/>
      <w:marRight w:val="0"/>
      <w:marTop w:val="0"/>
      <w:marBottom w:val="0"/>
      <w:divBdr>
        <w:top w:val="none" w:sz="0" w:space="0" w:color="auto"/>
        <w:left w:val="none" w:sz="0" w:space="0" w:color="auto"/>
        <w:bottom w:val="none" w:sz="0" w:space="0" w:color="auto"/>
        <w:right w:val="none" w:sz="0" w:space="0" w:color="auto"/>
      </w:divBdr>
    </w:div>
    <w:div w:id="592083351">
      <w:bodyDiv w:val="1"/>
      <w:marLeft w:val="0"/>
      <w:marRight w:val="0"/>
      <w:marTop w:val="0"/>
      <w:marBottom w:val="0"/>
      <w:divBdr>
        <w:top w:val="none" w:sz="0" w:space="0" w:color="auto"/>
        <w:left w:val="none" w:sz="0" w:space="0" w:color="auto"/>
        <w:bottom w:val="none" w:sz="0" w:space="0" w:color="auto"/>
        <w:right w:val="none" w:sz="0" w:space="0" w:color="auto"/>
      </w:divBdr>
      <w:divsChild>
        <w:div w:id="62721633">
          <w:marLeft w:val="0"/>
          <w:marRight w:val="0"/>
          <w:marTop w:val="0"/>
          <w:marBottom w:val="0"/>
          <w:divBdr>
            <w:top w:val="none" w:sz="0" w:space="0" w:color="auto"/>
            <w:left w:val="none" w:sz="0" w:space="0" w:color="auto"/>
            <w:bottom w:val="none" w:sz="0" w:space="0" w:color="auto"/>
            <w:right w:val="none" w:sz="0" w:space="0" w:color="auto"/>
          </w:divBdr>
          <w:divsChild>
            <w:div w:id="2144424669">
              <w:marLeft w:val="0"/>
              <w:marRight w:val="0"/>
              <w:marTop w:val="0"/>
              <w:marBottom w:val="0"/>
              <w:divBdr>
                <w:top w:val="none" w:sz="0" w:space="0" w:color="auto"/>
                <w:left w:val="none" w:sz="0" w:space="0" w:color="auto"/>
                <w:bottom w:val="none" w:sz="0" w:space="0" w:color="auto"/>
                <w:right w:val="none" w:sz="0" w:space="0" w:color="auto"/>
              </w:divBdr>
              <w:divsChild>
                <w:div w:id="2787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945393">
      <w:bodyDiv w:val="1"/>
      <w:marLeft w:val="0"/>
      <w:marRight w:val="0"/>
      <w:marTop w:val="0"/>
      <w:marBottom w:val="0"/>
      <w:divBdr>
        <w:top w:val="none" w:sz="0" w:space="0" w:color="auto"/>
        <w:left w:val="none" w:sz="0" w:space="0" w:color="auto"/>
        <w:bottom w:val="none" w:sz="0" w:space="0" w:color="auto"/>
        <w:right w:val="none" w:sz="0" w:space="0" w:color="auto"/>
      </w:divBdr>
    </w:div>
    <w:div w:id="1247156022">
      <w:bodyDiv w:val="1"/>
      <w:marLeft w:val="0"/>
      <w:marRight w:val="0"/>
      <w:marTop w:val="0"/>
      <w:marBottom w:val="0"/>
      <w:divBdr>
        <w:top w:val="none" w:sz="0" w:space="0" w:color="auto"/>
        <w:left w:val="none" w:sz="0" w:space="0" w:color="auto"/>
        <w:bottom w:val="none" w:sz="0" w:space="0" w:color="auto"/>
        <w:right w:val="none" w:sz="0" w:space="0" w:color="auto"/>
      </w:divBdr>
      <w:divsChild>
        <w:div w:id="496383839">
          <w:marLeft w:val="0"/>
          <w:marRight w:val="0"/>
          <w:marTop w:val="0"/>
          <w:marBottom w:val="0"/>
          <w:divBdr>
            <w:top w:val="none" w:sz="0" w:space="0" w:color="auto"/>
            <w:left w:val="none" w:sz="0" w:space="0" w:color="auto"/>
            <w:bottom w:val="none" w:sz="0" w:space="0" w:color="auto"/>
            <w:right w:val="none" w:sz="0" w:space="0" w:color="auto"/>
          </w:divBdr>
          <w:divsChild>
            <w:div w:id="810444277">
              <w:marLeft w:val="0"/>
              <w:marRight w:val="0"/>
              <w:marTop w:val="0"/>
              <w:marBottom w:val="0"/>
              <w:divBdr>
                <w:top w:val="none" w:sz="0" w:space="0" w:color="auto"/>
                <w:left w:val="none" w:sz="0" w:space="0" w:color="auto"/>
                <w:bottom w:val="none" w:sz="0" w:space="0" w:color="auto"/>
                <w:right w:val="none" w:sz="0" w:space="0" w:color="auto"/>
              </w:divBdr>
              <w:divsChild>
                <w:div w:id="53642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924059">
      <w:bodyDiv w:val="1"/>
      <w:marLeft w:val="0"/>
      <w:marRight w:val="0"/>
      <w:marTop w:val="0"/>
      <w:marBottom w:val="0"/>
      <w:divBdr>
        <w:top w:val="none" w:sz="0" w:space="0" w:color="auto"/>
        <w:left w:val="none" w:sz="0" w:space="0" w:color="auto"/>
        <w:bottom w:val="none" w:sz="0" w:space="0" w:color="auto"/>
        <w:right w:val="none" w:sz="0" w:space="0" w:color="auto"/>
      </w:divBdr>
      <w:divsChild>
        <w:div w:id="2109932413">
          <w:marLeft w:val="0"/>
          <w:marRight w:val="0"/>
          <w:marTop w:val="0"/>
          <w:marBottom w:val="0"/>
          <w:divBdr>
            <w:top w:val="none" w:sz="0" w:space="0" w:color="auto"/>
            <w:left w:val="none" w:sz="0" w:space="0" w:color="auto"/>
            <w:bottom w:val="none" w:sz="0" w:space="0" w:color="auto"/>
            <w:right w:val="none" w:sz="0" w:space="0" w:color="auto"/>
          </w:divBdr>
          <w:divsChild>
            <w:div w:id="686518733">
              <w:marLeft w:val="0"/>
              <w:marRight w:val="0"/>
              <w:marTop w:val="0"/>
              <w:marBottom w:val="0"/>
              <w:divBdr>
                <w:top w:val="none" w:sz="0" w:space="0" w:color="auto"/>
                <w:left w:val="none" w:sz="0" w:space="0" w:color="auto"/>
                <w:bottom w:val="none" w:sz="0" w:space="0" w:color="auto"/>
                <w:right w:val="none" w:sz="0" w:space="0" w:color="auto"/>
              </w:divBdr>
              <w:divsChild>
                <w:div w:id="74260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459567">
      <w:bodyDiv w:val="1"/>
      <w:marLeft w:val="0"/>
      <w:marRight w:val="0"/>
      <w:marTop w:val="0"/>
      <w:marBottom w:val="0"/>
      <w:divBdr>
        <w:top w:val="none" w:sz="0" w:space="0" w:color="auto"/>
        <w:left w:val="none" w:sz="0" w:space="0" w:color="auto"/>
        <w:bottom w:val="none" w:sz="0" w:space="0" w:color="auto"/>
        <w:right w:val="none" w:sz="0" w:space="0" w:color="auto"/>
      </w:divBdr>
    </w:div>
    <w:div w:id="1644584474">
      <w:bodyDiv w:val="1"/>
      <w:marLeft w:val="0"/>
      <w:marRight w:val="0"/>
      <w:marTop w:val="0"/>
      <w:marBottom w:val="0"/>
      <w:divBdr>
        <w:top w:val="none" w:sz="0" w:space="0" w:color="auto"/>
        <w:left w:val="none" w:sz="0" w:space="0" w:color="auto"/>
        <w:bottom w:val="none" w:sz="0" w:space="0" w:color="auto"/>
        <w:right w:val="none" w:sz="0" w:space="0" w:color="auto"/>
      </w:divBdr>
      <w:divsChild>
        <w:div w:id="1022784492">
          <w:marLeft w:val="0"/>
          <w:marRight w:val="0"/>
          <w:marTop w:val="0"/>
          <w:marBottom w:val="0"/>
          <w:divBdr>
            <w:top w:val="none" w:sz="0" w:space="0" w:color="auto"/>
            <w:left w:val="none" w:sz="0" w:space="0" w:color="auto"/>
            <w:bottom w:val="none" w:sz="0" w:space="0" w:color="auto"/>
            <w:right w:val="none" w:sz="0" w:space="0" w:color="auto"/>
          </w:divBdr>
          <w:divsChild>
            <w:div w:id="882209094">
              <w:marLeft w:val="0"/>
              <w:marRight w:val="0"/>
              <w:marTop w:val="0"/>
              <w:marBottom w:val="0"/>
              <w:divBdr>
                <w:top w:val="none" w:sz="0" w:space="0" w:color="auto"/>
                <w:left w:val="none" w:sz="0" w:space="0" w:color="auto"/>
                <w:bottom w:val="none" w:sz="0" w:space="0" w:color="auto"/>
                <w:right w:val="none" w:sz="0" w:space="0" w:color="auto"/>
              </w:divBdr>
              <w:divsChild>
                <w:div w:id="14971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794580">
      <w:bodyDiv w:val="1"/>
      <w:marLeft w:val="0"/>
      <w:marRight w:val="0"/>
      <w:marTop w:val="0"/>
      <w:marBottom w:val="0"/>
      <w:divBdr>
        <w:top w:val="none" w:sz="0" w:space="0" w:color="auto"/>
        <w:left w:val="none" w:sz="0" w:space="0" w:color="auto"/>
        <w:bottom w:val="none" w:sz="0" w:space="0" w:color="auto"/>
        <w:right w:val="none" w:sz="0" w:space="0" w:color="auto"/>
      </w:divBdr>
    </w:div>
    <w:div w:id="1887839253">
      <w:bodyDiv w:val="1"/>
      <w:marLeft w:val="0"/>
      <w:marRight w:val="0"/>
      <w:marTop w:val="0"/>
      <w:marBottom w:val="0"/>
      <w:divBdr>
        <w:top w:val="none" w:sz="0" w:space="0" w:color="auto"/>
        <w:left w:val="none" w:sz="0" w:space="0" w:color="auto"/>
        <w:bottom w:val="none" w:sz="0" w:space="0" w:color="auto"/>
        <w:right w:val="none" w:sz="0" w:space="0" w:color="auto"/>
      </w:divBdr>
    </w:div>
    <w:div w:id="198234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F42D52BC81AE4DAE9D0BFF6C9F612D" ma:contentTypeVersion="9" ma:contentTypeDescription="Create a new document." ma:contentTypeScope="" ma:versionID="95a08885256c44c9c5a5488a33f5ad8c">
  <xsd:schema xmlns:xsd="http://www.w3.org/2001/XMLSchema" xmlns:xs="http://www.w3.org/2001/XMLSchema" xmlns:p="http://schemas.microsoft.com/office/2006/metadata/properties" xmlns:ns3="e0aabb31-843e-4b20-97d4-262512983ec3" targetNamespace="http://schemas.microsoft.com/office/2006/metadata/properties" ma:root="true" ma:fieldsID="6472ea1fb38c300d8ca1cb893514fdd4" ns3:_="">
    <xsd:import namespace="e0aabb31-843e-4b20-97d4-262512983ec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aabb31-843e-4b20-97d4-262512983e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20F0FE-B38B-4B56-8512-5CD1A694EF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aabb31-843e-4b20-97d4-262512983e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F70A76-FA70-4C59-B128-AF9461BEA8C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AAAF246-E829-467C-B28F-452E8A004128}">
  <ds:schemaRefs>
    <ds:schemaRef ds:uri="http://schemas.microsoft.com/sharepoint/v3/contenttype/forms"/>
  </ds:schemaRefs>
</ds:datastoreItem>
</file>

<file path=customXml/itemProps4.xml><?xml version="1.0" encoding="utf-8"?>
<ds:datastoreItem xmlns:ds="http://schemas.openxmlformats.org/officeDocument/2006/customXml" ds:itemID="{11DE107E-B6D9-44B6-BE66-1EE2AC2FF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38</Pages>
  <Words>14582</Words>
  <Characters>83120</Characters>
  <Application>Microsoft Office Word</Application>
  <DocSecurity>0</DocSecurity>
  <Lines>692</Lines>
  <Paragraphs>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Krista Schelhaas</dc:creator>
  <cp:lastModifiedBy>beck, jeremy</cp:lastModifiedBy>
  <cp:revision>3</cp:revision>
  <cp:lastPrinted>2023-01-04T16:23:00Z</cp:lastPrinted>
  <dcterms:created xsi:type="dcterms:W3CDTF">2024-01-10T18:38:00Z</dcterms:created>
  <dcterms:modified xsi:type="dcterms:W3CDTF">2024-01-10T18:42:00Z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0x010100A5F42D52BC81AE4DAE9D0BFF6C9F612D</vt:lpwstr>
  </property>
</Properties>
</file>