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8F326" w14:textId="77777777" w:rsidR="00D43FD4" w:rsidRDefault="00D43FD4">
      <w:pPr>
        <w:pStyle w:val="BodyText"/>
        <w:rPr>
          <w:sz w:val="20"/>
        </w:rPr>
      </w:pPr>
    </w:p>
    <w:p w14:paraId="4838F327" w14:textId="77777777" w:rsidR="00D43FD4" w:rsidRDefault="00D43FD4">
      <w:pPr>
        <w:pStyle w:val="BodyText"/>
        <w:rPr>
          <w:sz w:val="20"/>
        </w:rPr>
      </w:pPr>
    </w:p>
    <w:p w14:paraId="4838F328" w14:textId="77777777" w:rsidR="00D43FD4" w:rsidRDefault="00D43FD4">
      <w:pPr>
        <w:pStyle w:val="BodyText"/>
        <w:spacing w:before="4" w:after="1"/>
        <w:rPr>
          <w:sz w:val="17"/>
        </w:rPr>
      </w:pPr>
    </w:p>
    <w:tbl>
      <w:tblPr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1"/>
        <w:gridCol w:w="3241"/>
      </w:tblGrid>
      <w:tr w:rsidR="00D43FD4" w14:paraId="4838F33C" w14:textId="77777777">
        <w:trPr>
          <w:trHeight w:hRule="exact" w:val="3333"/>
        </w:trPr>
        <w:tc>
          <w:tcPr>
            <w:tcW w:w="6121" w:type="dxa"/>
          </w:tcPr>
          <w:p w14:paraId="4838F329" w14:textId="429468AF" w:rsidR="00D43FD4" w:rsidRDefault="002951E9">
            <w:pPr>
              <w:pStyle w:val="TableParagraph"/>
              <w:spacing w:before="121"/>
              <w:ind w:left="112"/>
              <w:rPr>
                <w:sz w:val="24"/>
              </w:rPr>
            </w:pPr>
            <w:r>
              <w:rPr>
                <w:sz w:val="24"/>
              </w:rPr>
              <w:t xml:space="preserve">THIRTEENTH </w:t>
            </w:r>
            <w:r w:rsidR="00834F53">
              <w:rPr>
                <w:sz w:val="24"/>
              </w:rPr>
              <w:t>JUDICIAL DISTRICT, COLORADO</w:t>
            </w:r>
          </w:p>
          <w:p w14:paraId="4838F32A" w14:textId="0A60D582" w:rsidR="00D43FD4" w:rsidRDefault="00834F53">
            <w:pPr>
              <w:pStyle w:val="TableParagraph"/>
              <w:tabs>
                <w:tab w:val="left" w:pos="2272"/>
              </w:tabs>
              <w:spacing w:before="7"/>
              <w:ind w:left="112"/>
              <w:rPr>
                <w:sz w:val="24"/>
              </w:rPr>
            </w:pPr>
            <w:r>
              <w:rPr>
                <w:sz w:val="24"/>
              </w:rPr>
              <w:t>Court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  <w:r>
              <w:rPr>
                <w:sz w:val="24"/>
              </w:rPr>
              <w:tab/>
            </w:r>
            <w:r w:rsidR="002951E9">
              <w:rPr>
                <w:sz w:val="24"/>
              </w:rPr>
              <w:t xml:space="preserve">Logan </w:t>
            </w:r>
            <w:r>
              <w:rPr>
                <w:sz w:val="24"/>
              </w:rPr>
              <w:t>County</w:t>
            </w:r>
            <w:r>
              <w:rPr>
                <w:spacing w:val="-12"/>
                <w:sz w:val="24"/>
              </w:rPr>
              <w:t xml:space="preserve"> </w:t>
            </w:r>
            <w:r w:rsidR="002951E9">
              <w:rPr>
                <w:spacing w:val="-12"/>
                <w:sz w:val="24"/>
              </w:rPr>
              <w:t>Justice Center</w:t>
            </w:r>
          </w:p>
          <w:p w14:paraId="12B4D903" w14:textId="77777777" w:rsidR="00D64E29" w:rsidRDefault="00834F53">
            <w:pPr>
              <w:pStyle w:val="TableParagraph"/>
              <w:spacing w:before="7" w:line="247" w:lineRule="auto"/>
              <w:ind w:left="2272" w:right="365"/>
              <w:rPr>
                <w:sz w:val="24"/>
              </w:rPr>
            </w:pPr>
            <w:r>
              <w:rPr>
                <w:sz w:val="24"/>
              </w:rPr>
              <w:t>1</w:t>
            </w:r>
            <w:r w:rsidR="00D64E29">
              <w:rPr>
                <w:sz w:val="24"/>
              </w:rPr>
              <w:t>10 North Riverview Rd.</w:t>
            </w:r>
            <w:r>
              <w:rPr>
                <w:sz w:val="24"/>
              </w:rPr>
              <w:t xml:space="preserve">, </w:t>
            </w:r>
          </w:p>
          <w:p w14:paraId="2E448D20" w14:textId="77777777" w:rsidR="00D64E29" w:rsidRDefault="00D64E29">
            <w:pPr>
              <w:pStyle w:val="TableParagraph"/>
              <w:spacing w:before="7" w:line="247" w:lineRule="auto"/>
              <w:ind w:left="2272" w:right="365"/>
              <w:rPr>
                <w:sz w:val="24"/>
              </w:rPr>
            </w:pPr>
            <w:r>
              <w:rPr>
                <w:sz w:val="24"/>
              </w:rPr>
              <w:t>Room</w:t>
            </w:r>
            <w:r w:rsidR="00834F53">
              <w:rPr>
                <w:sz w:val="24"/>
              </w:rPr>
              <w:t xml:space="preserve"> 10</w:t>
            </w:r>
            <w:r>
              <w:rPr>
                <w:sz w:val="24"/>
              </w:rPr>
              <w:t>5</w:t>
            </w:r>
            <w:r w:rsidR="00834F53">
              <w:rPr>
                <w:sz w:val="24"/>
              </w:rPr>
              <w:t xml:space="preserve"> </w:t>
            </w:r>
          </w:p>
          <w:p w14:paraId="4838F32B" w14:textId="2C799B1C" w:rsidR="00D43FD4" w:rsidRDefault="00834F53">
            <w:pPr>
              <w:pStyle w:val="TableParagraph"/>
              <w:spacing w:before="7" w:line="247" w:lineRule="auto"/>
              <w:ind w:left="2272" w:right="365"/>
              <w:rPr>
                <w:sz w:val="24"/>
              </w:rPr>
            </w:pPr>
            <w:r>
              <w:rPr>
                <w:sz w:val="24"/>
              </w:rPr>
              <w:t>S</w:t>
            </w:r>
            <w:r w:rsidR="00D64E29">
              <w:rPr>
                <w:sz w:val="24"/>
              </w:rPr>
              <w:t>terling</w:t>
            </w:r>
            <w:r>
              <w:rPr>
                <w:sz w:val="24"/>
              </w:rPr>
              <w:t>, Colorado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 w:rsidR="007E0F65">
              <w:rPr>
                <w:sz w:val="24"/>
              </w:rPr>
              <w:t>75</w:t>
            </w:r>
            <w:r>
              <w:rPr>
                <w:sz w:val="24"/>
              </w:rPr>
              <w:t>1</w:t>
            </w:r>
          </w:p>
          <w:p w14:paraId="4838F32C" w14:textId="77777777" w:rsidR="00D43FD4" w:rsidRDefault="00D43FD4">
            <w:pPr>
              <w:pStyle w:val="TableParagraph"/>
              <w:spacing w:before="6"/>
              <w:rPr>
                <w:sz w:val="24"/>
              </w:rPr>
            </w:pPr>
          </w:p>
          <w:p w14:paraId="4838F32D" w14:textId="3E2C7FF6" w:rsidR="00D43FD4" w:rsidRDefault="00834F53">
            <w:pPr>
              <w:pStyle w:val="TableParagraph"/>
              <w:tabs>
                <w:tab w:val="left" w:pos="2272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  <w:r>
              <w:rPr>
                <w:sz w:val="24"/>
              </w:rPr>
              <w:tab/>
              <w:t>970-</w:t>
            </w:r>
            <w:r w:rsidR="007E0F65">
              <w:rPr>
                <w:sz w:val="24"/>
              </w:rPr>
              <w:t>522</w:t>
            </w:r>
            <w:r>
              <w:rPr>
                <w:sz w:val="24"/>
              </w:rPr>
              <w:t>-</w:t>
            </w:r>
            <w:r w:rsidR="007E0F65">
              <w:rPr>
                <w:sz w:val="24"/>
              </w:rPr>
              <w:t>65</w:t>
            </w:r>
            <w:r>
              <w:rPr>
                <w:sz w:val="24"/>
              </w:rPr>
              <w:t>65</w:t>
            </w:r>
          </w:p>
          <w:p w14:paraId="4838F32E" w14:textId="77777777" w:rsidR="00D43FD4" w:rsidRDefault="00D43FD4">
            <w:pPr>
              <w:pStyle w:val="TableParagraph"/>
              <w:spacing w:before="4"/>
            </w:pPr>
          </w:p>
          <w:p w14:paraId="4838F32F" w14:textId="77777777" w:rsidR="00D43FD4" w:rsidRDefault="00834F53">
            <w:pPr>
              <w:pStyle w:val="TableParagraph"/>
              <w:spacing w:line="25" w:lineRule="exact"/>
              <w:ind w:left="10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838F381">
                <v:group id="_x0000_s1033" style="width:282.65pt;height:1.3pt;mso-position-horizontal-relative:char;mso-position-vertical-relative:line" coordsize="5653,26">
                  <v:line id="_x0000_s1035" style="position:absolute" from="6,6" to="5647,6" strokeweight=".6pt"/>
                  <v:line id="_x0000_s1034" style="position:absolute" from="6,21" to="5646,21" strokeweight=".48pt"/>
                  <w10:wrap type="none"/>
                  <w10:anchorlock/>
                </v:group>
              </w:pict>
            </w:r>
          </w:p>
          <w:p w14:paraId="4838F330" w14:textId="77777777" w:rsidR="00D43FD4" w:rsidRDefault="00D43FD4">
            <w:pPr>
              <w:pStyle w:val="TableParagraph"/>
              <w:spacing w:before="3"/>
              <w:rPr>
                <w:sz w:val="25"/>
              </w:rPr>
            </w:pPr>
          </w:p>
          <w:p w14:paraId="4838F331" w14:textId="77777777" w:rsidR="00D43FD4" w:rsidRDefault="00834F5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ADMINISTRATIVE ORDER</w:t>
            </w:r>
          </w:p>
        </w:tc>
        <w:tc>
          <w:tcPr>
            <w:tcW w:w="3241" w:type="dxa"/>
          </w:tcPr>
          <w:p w14:paraId="4838F332" w14:textId="77777777" w:rsidR="00D43FD4" w:rsidRDefault="00D43FD4">
            <w:pPr>
              <w:pStyle w:val="TableParagraph"/>
              <w:rPr>
                <w:sz w:val="28"/>
              </w:rPr>
            </w:pPr>
          </w:p>
          <w:p w14:paraId="4838F333" w14:textId="77777777" w:rsidR="00D43FD4" w:rsidRDefault="00D43FD4">
            <w:pPr>
              <w:pStyle w:val="TableParagraph"/>
              <w:rPr>
                <w:sz w:val="28"/>
              </w:rPr>
            </w:pPr>
          </w:p>
          <w:p w14:paraId="4838F334" w14:textId="77777777" w:rsidR="00D43FD4" w:rsidRDefault="00D43FD4">
            <w:pPr>
              <w:pStyle w:val="TableParagraph"/>
              <w:rPr>
                <w:sz w:val="28"/>
              </w:rPr>
            </w:pPr>
          </w:p>
          <w:p w14:paraId="4838F335" w14:textId="77777777" w:rsidR="00D43FD4" w:rsidRDefault="00D43FD4">
            <w:pPr>
              <w:pStyle w:val="TableParagraph"/>
              <w:rPr>
                <w:sz w:val="28"/>
              </w:rPr>
            </w:pPr>
          </w:p>
          <w:p w14:paraId="4838F336" w14:textId="77777777" w:rsidR="00D43FD4" w:rsidRDefault="00D43FD4">
            <w:pPr>
              <w:pStyle w:val="TableParagraph"/>
              <w:rPr>
                <w:sz w:val="28"/>
              </w:rPr>
            </w:pPr>
          </w:p>
          <w:p w14:paraId="4838F337" w14:textId="77777777" w:rsidR="00D43FD4" w:rsidRDefault="00D43FD4">
            <w:pPr>
              <w:pStyle w:val="TableParagraph"/>
              <w:rPr>
                <w:sz w:val="28"/>
              </w:rPr>
            </w:pPr>
          </w:p>
          <w:p w14:paraId="4838F338" w14:textId="77777777" w:rsidR="00D43FD4" w:rsidRDefault="00D43FD4">
            <w:pPr>
              <w:pStyle w:val="TableParagraph"/>
              <w:rPr>
                <w:sz w:val="28"/>
              </w:rPr>
            </w:pPr>
          </w:p>
          <w:p w14:paraId="4838F339" w14:textId="77777777" w:rsidR="00D43FD4" w:rsidRDefault="00D43FD4">
            <w:pPr>
              <w:pStyle w:val="TableParagraph"/>
              <w:rPr>
                <w:sz w:val="28"/>
              </w:rPr>
            </w:pPr>
          </w:p>
          <w:p w14:paraId="4838F33A" w14:textId="77777777" w:rsidR="00D43FD4" w:rsidRDefault="00D43FD4">
            <w:pPr>
              <w:pStyle w:val="TableParagraph"/>
              <w:spacing w:before="7"/>
              <w:rPr>
                <w:sz w:val="32"/>
              </w:rPr>
            </w:pPr>
          </w:p>
          <w:p w14:paraId="4838F33B" w14:textId="77777777" w:rsidR="00D43FD4" w:rsidRDefault="00834F53">
            <w:pPr>
              <w:pStyle w:val="TableParagraph"/>
              <w:tabs>
                <w:tab w:val="left" w:pos="386"/>
              </w:tabs>
              <w:ind w:left="2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</w:t>
            </w:r>
            <w:r>
              <w:rPr>
                <w:sz w:val="24"/>
              </w:rPr>
              <w:tab/>
              <w:t xml:space="preserve">COURT USE </w:t>
            </w:r>
            <w:proofErr w:type="gramStart"/>
            <w:r>
              <w:rPr>
                <w:sz w:val="24"/>
              </w:rPr>
              <w:t xml:space="preserve">ONLY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</w:t>
            </w:r>
            <w:proofErr w:type="gramEnd"/>
          </w:p>
        </w:tc>
      </w:tr>
      <w:tr w:rsidR="00D43FD4" w14:paraId="4838F33F" w14:textId="77777777">
        <w:trPr>
          <w:trHeight w:hRule="exact" w:val="494"/>
        </w:trPr>
        <w:tc>
          <w:tcPr>
            <w:tcW w:w="6121" w:type="dxa"/>
            <w:tcBorders>
              <w:bottom w:val="single" w:sz="13" w:space="0" w:color="000000"/>
            </w:tcBorders>
          </w:tcPr>
          <w:p w14:paraId="4838F33D" w14:textId="3D0158B3" w:rsidR="00D43FD4" w:rsidRDefault="00834F53">
            <w:pPr>
              <w:pStyle w:val="TableParagraph"/>
              <w:spacing w:before="130"/>
              <w:ind w:left="112"/>
              <w:rPr>
                <w:sz w:val="24"/>
              </w:rPr>
            </w:pPr>
            <w:r>
              <w:rPr>
                <w:sz w:val="24"/>
              </w:rPr>
              <w:t xml:space="preserve">The Honorable </w:t>
            </w:r>
            <w:r w:rsidR="007E0F65">
              <w:rPr>
                <w:sz w:val="24"/>
              </w:rPr>
              <w:t>Michael K.</w:t>
            </w:r>
            <w:r>
              <w:rPr>
                <w:sz w:val="24"/>
              </w:rPr>
              <w:t xml:space="preserve"> </w:t>
            </w:r>
            <w:r w:rsidR="007E0F65">
              <w:rPr>
                <w:sz w:val="24"/>
              </w:rPr>
              <w:t>Singer</w:t>
            </w:r>
          </w:p>
        </w:tc>
        <w:tc>
          <w:tcPr>
            <w:tcW w:w="3241" w:type="dxa"/>
            <w:tcBorders>
              <w:bottom w:val="single" w:sz="13" w:space="0" w:color="000000"/>
            </w:tcBorders>
          </w:tcPr>
          <w:p w14:paraId="4838F33E" w14:textId="4083A4E0" w:rsidR="00D43FD4" w:rsidRDefault="00834F53">
            <w:pPr>
              <w:pStyle w:val="TableParagraph"/>
              <w:spacing w:before="130"/>
              <w:ind w:left="2" w:right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Administrative Order </w:t>
            </w:r>
            <w:r w:rsidR="00E013F3">
              <w:rPr>
                <w:sz w:val="24"/>
              </w:rPr>
              <w:t>20</w:t>
            </w:r>
            <w:r>
              <w:rPr>
                <w:sz w:val="24"/>
              </w:rPr>
              <w:t>20-</w:t>
            </w:r>
            <w:r w:rsidR="007E0F65">
              <w:rPr>
                <w:sz w:val="24"/>
              </w:rPr>
              <w:t>H</w:t>
            </w:r>
          </w:p>
        </w:tc>
      </w:tr>
      <w:tr w:rsidR="00D43FD4" w14:paraId="4838F343" w14:textId="77777777">
        <w:trPr>
          <w:trHeight w:hRule="exact" w:val="1168"/>
        </w:trPr>
        <w:tc>
          <w:tcPr>
            <w:tcW w:w="9362" w:type="dxa"/>
            <w:gridSpan w:val="2"/>
            <w:tcBorders>
              <w:top w:val="single" w:sz="13" w:space="0" w:color="000000"/>
            </w:tcBorders>
          </w:tcPr>
          <w:p w14:paraId="4838F340" w14:textId="77777777" w:rsidR="00D43FD4" w:rsidRDefault="00834F53">
            <w:pPr>
              <w:pStyle w:val="TableParagraph"/>
              <w:spacing w:before="126"/>
              <w:ind w:left="129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UPDATED ORDER:  SUSPENSION OF JURY TRIALS DURING COVID-19 PERIOD</w:t>
            </w:r>
          </w:p>
          <w:p w14:paraId="4838F341" w14:textId="77777777" w:rsidR="00D43FD4" w:rsidRDefault="00834F53">
            <w:pPr>
              <w:pStyle w:val="TableParagraph"/>
              <w:spacing w:before="65"/>
              <w:ind w:left="129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</w:p>
          <w:p w14:paraId="4838F342" w14:textId="38F124A1" w:rsidR="00D43FD4" w:rsidRDefault="007E0F65">
            <w:pPr>
              <w:pStyle w:val="TableParagraph"/>
              <w:spacing w:before="65"/>
              <w:ind w:left="127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LOGAN, MORGAN, </w:t>
            </w:r>
            <w:r w:rsidR="00BD75E1">
              <w:rPr>
                <w:b/>
                <w:sz w:val="24"/>
              </w:rPr>
              <w:t>SEDGWICK, PHILLIPS AND WASHINGTON</w:t>
            </w:r>
            <w:r w:rsidR="00834F53">
              <w:rPr>
                <w:b/>
                <w:sz w:val="24"/>
              </w:rPr>
              <w:t xml:space="preserve"> COUNTIES</w:t>
            </w:r>
          </w:p>
        </w:tc>
      </w:tr>
    </w:tbl>
    <w:p w14:paraId="4838F344" w14:textId="77777777" w:rsidR="00D43FD4" w:rsidRDefault="00D43FD4">
      <w:pPr>
        <w:pStyle w:val="BodyText"/>
        <w:spacing w:before="10"/>
        <w:rPr>
          <w:sz w:val="21"/>
        </w:rPr>
      </w:pPr>
    </w:p>
    <w:p w14:paraId="4838F345" w14:textId="6CC48E4A" w:rsidR="00D43FD4" w:rsidRDefault="00834F53">
      <w:pPr>
        <w:pStyle w:val="BodyText"/>
        <w:spacing w:before="87" w:line="487" w:lineRule="auto"/>
        <w:ind w:left="120" w:right="131" w:firstLine="719"/>
        <w:jc w:val="both"/>
      </w:pPr>
      <w:r>
        <w:t>This</w:t>
      </w:r>
      <w:r>
        <w:rPr>
          <w:spacing w:val="-8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supplements</w:t>
      </w:r>
      <w:r>
        <w:rPr>
          <w:spacing w:val="-8"/>
        </w:rPr>
        <w:t xml:space="preserve"> </w:t>
      </w:r>
      <w:r w:rsidR="00D41397">
        <w:rPr>
          <w:spacing w:val="-8"/>
        </w:rPr>
        <w:t xml:space="preserve">prior </w:t>
      </w:r>
      <w:r>
        <w:t>Administrative</w:t>
      </w:r>
      <w:r>
        <w:rPr>
          <w:spacing w:val="-9"/>
        </w:rPr>
        <w:t xml:space="preserve"> </w:t>
      </w:r>
      <w:r>
        <w:t>Orders</w:t>
      </w:r>
      <w:r>
        <w:rPr>
          <w:spacing w:val="-8"/>
        </w:rPr>
        <w:t xml:space="preserve"> </w:t>
      </w:r>
      <w:r w:rsidR="00D41397">
        <w:rPr>
          <w:spacing w:val="-8"/>
        </w:rPr>
        <w:t>o</w:t>
      </w:r>
      <w:r>
        <w:t>n</w:t>
      </w:r>
      <w:r>
        <w:rPr>
          <w:spacing w:val="-8"/>
        </w:rPr>
        <w:t xml:space="preserve"> </w:t>
      </w:r>
      <w:r>
        <w:t>the sole</w:t>
      </w:r>
      <w:r>
        <w:rPr>
          <w:spacing w:val="-7"/>
        </w:rPr>
        <w:t xml:space="preserve"> </w:t>
      </w:r>
      <w:r>
        <w:t>issue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conducting</w:t>
      </w:r>
      <w:r>
        <w:rPr>
          <w:spacing w:val="-6"/>
        </w:rPr>
        <w:t xml:space="preserve"> </w:t>
      </w:r>
      <w:r>
        <w:t>jury</w:t>
      </w:r>
      <w:r>
        <w:rPr>
          <w:spacing w:val="-8"/>
        </w:rPr>
        <w:t xml:space="preserve"> </w:t>
      </w:r>
      <w:r>
        <w:t>trials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BD75E1">
        <w:rPr>
          <w:spacing w:val="-7"/>
        </w:rPr>
        <w:t xml:space="preserve">Thirteenth </w:t>
      </w:r>
      <w:r>
        <w:t>Judicial</w:t>
      </w:r>
      <w:r>
        <w:rPr>
          <w:spacing w:val="-6"/>
        </w:rPr>
        <w:t xml:space="preserve"> </w:t>
      </w:r>
      <w:r>
        <w:t>District</w:t>
      </w:r>
      <w:r>
        <w:rPr>
          <w:spacing w:val="-7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COVID- 19</w:t>
      </w:r>
      <w:r>
        <w:rPr>
          <w:spacing w:val="-10"/>
        </w:rPr>
        <w:t xml:space="preserve"> </w:t>
      </w:r>
      <w:r>
        <w:t>period.</w:t>
      </w:r>
    </w:p>
    <w:p w14:paraId="4838F346" w14:textId="3B7DEA11" w:rsidR="00D43FD4" w:rsidRDefault="00834F53">
      <w:pPr>
        <w:pStyle w:val="BodyText"/>
        <w:spacing w:before="11" w:line="487" w:lineRule="auto"/>
        <w:ind w:left="120" w:right="146" w:firstLine="719"/>
      </w:pPr>
      <w:r>
        <w:t>The public health crisis of COVID-19 continues to exist and to worsen</w:t>
      </w:r>
      <w:r w:rsidR="00BD75E1">
        <w:t xml:space="preserve"> in some areas</w:t>
      </w:r>
      <w:r>
        <w:t>.</w:t>
      </w:r>
      <w:r w:rsidR="00BA165E">
        <w:t xml:space="preserve"> </w:t>
      </w:r>
      <w:r>
        <w:t xml:space="preserve"> </w:t>
      </w:r>
      <w:r w:rsidR="00BD75E1">
        <w:t xml:space="preserve">For many persons </w:t>
      </w:r>
      <w:r>
        <w:t xml:space="preserve">participating in jury trials in </w:t>
      </w:r>
      <w:r w:rsidR="00BA165E">
        <w:t xml:space="preserve">Thirteenth </w:t>
      </w:r>
      <w:r>
        <w:t>Judicial District courthouses</w:t>
      </w:r>
      <w:r w:rsidR="00BA165E">
        <w:t>, t</w:t>
      </w:r>
      <w:r w:rsidR="00BA165E">
        <w:t>he COVID-19 pandemic poses a serious threat to the</w:t>
      </w:r>
      <w:r w:rsidR="00BA165E">
        <w:t>ir</w:t>
      </w:r>
      <w:r w:rsidR="00BA165E">
        <w:t xml:space="preserve"> health and safety</w:t>
      </w:r>
      <w:r>
        <w:t>.</w:t>
      </w:r>
      <w:r w:rsidR="00BA165E">
        <w:t xml:space="preserve"> </w:t>
      </w:r>
      <w:r>
        <w:t xml:space="preserve"> The decision to s</w:t>
      </w:r>
      <w:r>
        <w:t>uspend the summoning of jurors to courts is not one undertaken lightly.</w:t>
      </w:r>
      <w:r w:rsidR="00A80E28">
        <w:t xml:space="preserve"> </w:t>
      </w:r>
      <w:r>
        <w:t xml:space="preserve"> The right to a jury trial in criminal cases is fundamental and guaranteed by the United States and Colorado constitutions, and it has been of paramount importance to the judges in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district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resume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t>criminal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t>jury</w:t>
      </w:r>
      <w:r>
        <w:rPr>
          <w:spacing w:val="-9"/>
        </w:rPr>
        <w:t xml:space="preserve"> </w:t>
      </w:r>
      <w:r>
        <w:t>trials</w:t>
      </w:r>
      <w:r>
        <w:rPr>
          <w:spacing w:val="-8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the circumstances</w:t>
      </w:r>
      <w:r>
        <w:rPr>
          <w:spacing w:val="-9"/>
        </w:rPr>
        <w:t xml:space="preserve"> </w:t>
      </w:r>
      <w:r>
        <w:t>allow</w:t>
      </w:r>
      <w:r>
        <w:rPr>
          <w:spacing w:val="-9"/>
        </w:rPr>
        <w:t xml:space="preserve"> </w:t>
      </w:r>
      <w:r>
        <w:t>us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appropriate</w:t>
      </w:r>
      <w:r>
        <w:rPr>
          <w:spacing w:val="-10"/>
        </w:rPr>
        <w:t xml:space="preserve"> </w:t>
      </w:r>
      <w:r>
        <w:t>mitigation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pandemic</w:t>
      </w:r>
      <w:r>
        <w:rPr>
          <w:spacing w:val="-10"/>
        </w:rPr>
        <w:t xml:space="preserve"> </w:t>
      </w:r>
      <w:r>
        <w:t>risk.</w:t>
      </w:r>
    </w:p>
    <w:p w14:paraId="4838F347" w14:textId="77777777" w:rsidR="00D43FD4" w:rsidRDefault="00D43FD4">
      <w:pPr>
        <w:spacing w:line="487" w:lineRule="auto"/>
        <w:sectPr w:rsidR="00D43FD4">
          <w:type w:val="continuous"/>
          <w:pgSz w:w="12240" w:h="15840"/>
          <w:pgMar w:top="1500" w:right="1320" w:bottom="280" w:left="1320" w:header="720" w:footer="720" w:gutter="0"/>
          <w:cols w:space="720"/>
        </w:sectPr>
      </w:pPr>
    </w:p>
    <w:p w14:paraId="4838F348" w14:textId="77777777" w:rsidR="00D43FD4" w:rsidRDefault="00D43FD4">
      <w:pPr>
        <w:pStyle w:val="BodyText"/>
        <w:rPr>
          <w:sz w:val="20"/>
        </w:rPr>
      </w:pPr>
    </w:p>
    <w:p w14:paraId="4838F349" w14:textId="77777777" w:rsidR="00D43FD4" w:rsidRDefault="00D43FD4">
      <w:pPr>
        <w:pStyle w:val="BodyText"/>
        <w:rPr>
          <w:sz w:val="20"/>
        </w:rPr>
      </w:pPr>
    </w:p>
    <w:p w14:paraId="4838F34A" w14:textId="77777777" w:rsidR="00D43FD4" w:rsidRDefault="00D43FD4">
      <w:pPr>
        <w:pStyle w:val="BodyText"/>
        <w:spacing w:before="7"/>
        <w:rPr>
          <w:sz w:val="26"/>
        </w:rPr>
      </w:pPr>
    </w:p>
    <w:p w14:paraId="4838F34B" w14:textId="4CB982EA" w:rsidR="00D43FD4" w:rsidRDefault="00834F53" w:rsidP="008F6127">
      <w:pPr>
        <w:pStyle w:val="BodyText"/>
        <w:spacing w:before="87" w:line="487" w:lineRule="auto"/>
        <w:ind w:left="100" w:right="276" w:firstLine="620"/>
      </w:pPr>
      <w:r>
        <w:t xml:space="preserve">Due to the ongoing public health issues related to the COVID-19 pandemic, as discussed below, it is inappropriate at this time for the courts of the </w:t>
      </w:r>
      <w:r w:rsidR="00074F1F">
        <w:t xml:space="preserve">Thirteenth </w:t>
      </w:r>
      <w:r>
        <w:t xml:space="preserve">Judicial District to hear </w:t>
      </w:r>
      <w:r w:rsidR="00074F1F">
        <w:t xml:space="preserve">felony </w:t>
      </w:r>
      <w:r>
        <w:t xml:space="preserve">jury trials in </w:t>
      </w:r>
      <w:r w:rsidR="00074F1F">
        <w:t>Logan, Morgan, Phillips, Sedgwick and Washington</w:t>
      </w:r>
      <w:r>
        <w:t xml:space="preserve"> counties.</w:t>
      </w:r>
      <w:r w:rsidR="008F6127">
        <w:t xml:space="preserve">  T</w:t>
      </w:r>
      <w:r w:rsidR="00C27096">
        <w:t>he reasons for this suspension follow.</w:t>
      </w:r>
    </w:p>
    <w:p w14:paraId="6373ECBC" w14:textId="22A7D5B6" w:rsidR="00C214A8" w:rsidRDefault="00834F53">
      <w:pPr>
        <w:pStyle w:val="BodyText"/>
        <w:spacing w:before="12" w:line="487" w:lineRule="auto"/>
        <w:ind w:left="100" w:right="206" w:firstLine="719"/>
      </w:pPr>
      <w:r>
        <w:t>On July 24, 2020, the Chief Ju</w:t>
      </w:r>
      <w:r>
        <w:t>stice of the Colorado Supreme Court adopted an updated order regarding COVID-19 and court operations. It orders, “no person shall be summoned to assemble for jury service in a state court without the authorization of the Chief Judge of the particular judic</w:t>
      </w:r>
      <w:r>
        <w:t xml:space="preserve">ial district, following his or her determination that the jury pool in question can be safely assembled consistent with applicable executive orders and health directives.” </w:t>
      </w:r>
      <w:r w:rsidR="00074F1F">
        <w:t xml:space="preserve"> </w:t>
      </w:r>
      <w:r>
        <w:t xml:space="preserve">This led to ongoing meetings including judges and stakeholders to develop the </w:t>
      </w:r>
      <w:r w:rsidR="002C5B86">
        <w:t xml:space="preserve">plans for jury trials in each of the discrete counties of the Thirteenth </w:t>
      </w:r>
      <w:r>
        <w:t>Judicial District</w:t>
      </w:r>
      <w:r w:rsidR="00E868E4">
        <w:t>.  This Court’s</w:t>
      </w:r>
      <w:r>
        <w:t xml:space="preserve"> Administrative Order 20-</w:t>
      </w:r>
      <w:r w:rsidR="00230F4D">
        <w:t>F</w:t>
      </w:r>
      <w:r w:rsidR="00E868E4">
        <w:t xml:space="preserve"> </w:t>
      </w:r>
      <w:r w:rsidR="00C214A8">
        <w:t>allowed jury trials to proceed in accordance with those plans</w:t>
      </w:r>
      <w:r>
        <w:t xml:space="preserve">. </w:t>
      </w:r>
    </w:p>
    <w:p w14:paraId="4838F34F" w14:textId="1BBE5D25" w:rsidR="00D43FD4" w:rsidRDefault="00834F53" w:rsidP="009E7E1F">
      <w:pPr>
        <w:pStyle w:val="BodyText"/>
        <w:spacing w:before="12" w:line="487" w:lineRule="auto"/>
        <w:ind w:left="100" w:right="206" w:firstLine="719"/>
        <w:rPr>
          <w:sz w:val="20"/>
        </w:rPr>
      </w:pPr>
      <w:r>
        <w:t>At the time Administrative Order 20-</w:t>
      </w:r>
      <w:r w:rsidR="00230F4D">
        <w:t>F</w:t>
      </w:r>
      <w:r>
        <w:t xml:space="preserve"> was adopted, reported COVID-19 </w:t>
      </w:r>
      <w:r w:rsidR="0033456E">
        <w:t xml:space="preserve">active </w:t>
      </w:r>
      <w:r>
        <w:t xml:space="preserve">cases were lower statewide, </w:t>
      </w:r>
      <w:r>
        <w:t xml:space="preserve">and lower in all </w:t>
      </w:r>
      <w:r w:rsidR="0033456E">
        <w:t>seven</w:t>
      </w:r>
      <w:r>
        <w:t xml:space="preserve"> </w:t>
      </w:r>
      <w:r w:rsidR="0033456E">
        <w:t xml:space="preserve">Thirteenth </w:t>
      </w:r>
      <w:r>
        <w:t xml:space="preserve">District </w:t>
      </w:r>
    </w:p>
    <w:p w14:paraId="4838F350" w14:textId="77777777" w:rsidR="00D43FD4" w:rsidRDefault="00D43FD4">
      <w:pPr>
        <w:pStyle w:val="BodyText"/>
        <w:spacing w:before="7"/>
        <w:rPr>
          <w:sz w:val="26"/>
        </w:rPr>
      </w:pPr>
    </w:p>
    <w:p w14:paraId="376F42FF" w14:textId="77777777" w:rsidR="00B26216" w:rsidRDefault="00B26216" w:rsidP="00B26216">
      <w:pPr>
        <w:pStyle w:val="BodyText"/>
        <w:spacing w:before="87" w:line="487" w:lineRule="auto"/>
        <w:ind w:right="48"/>
      </w:pPr>
    </w:p>
    <w:p w14:paraId="1E26901B" w14:textId="0B33390D" w:rsidR="009E7E1F" w:rsidRDefault="00B26216" w:rsidP="00B26216">
      <w:pPr>
        <w:pStyle w:val="BodyText"/>
        <w:spacing w:before="87" w:line="487" w:lineRule="auto"/>
        <w:ind w:right="48"/>
      </w:pPr>
      <w:r>
        <w:t xml:space="preserve">counties.  </w:t>
      </w:r>
      <w:r w:rsidR="00FD188E">
        <w:t xml:space="preserve">However, </w:t>
      </w:r>
      <w:proofErr w:type="gramStart"/>
      <w:r w:rsidR="00FD188E">
        <w:t>a</w:t>
      </w:r>
      <w:r>
        <w:t>t this time</w:t>
      </w:r>
      <w:proofErr w:type="gramEnd"/>
      <w:r>
        <w:t>, active cases on a fourteen-day rolling average are greater than 1.0% of the population in each county, with the exception of Yuma County (0.5</w:t>
      </w:r>
      <w:r w:rsidR="00127155">
        <w:t>962</w:t>
      </w:r>
      <w:r>
        <w:t>%)</w:t>
      </w:r>
      <w:r w:rsidR="00CA1092">
        <w:t xml:space="preserve"> and Kit Carson County</w:t>
      </w:r>
      <w:r>
        <w:t>.</w:t>
      </w:r>
    </w:p>
    <w:p w14:paraId="3D771D56" w14:textId="63F6AA78" w:rsidR="00F7504D" w:rsidRDefault="00834F53">
      <w:pPr>
        <w:pStyle w:val="BodyText"/>
        <w:spacing w:before="87" w:line="487" w:lineRule="auto"/>
        <w:ind w:left="100" w:right="48" w:firstLine="719"/>
      </w:pPr>
      <w:r>
        <w:t>When the District determined a written jury plan was appropriate</w:t>
      </w:r>
      <w:r>
        <w:t xml:space="preserve">, </w:t>
      </w:r>
      <w:r w:rsidR="00956BC7">
        <w:t xml:space="preserve">a wide variety of guidelines were implemented </w:t>
      </w:r>
      <w:proofErr w:type="gramStart"/>
      <w:r w:rsidR="00956BC7">
        <w:t>in an effort to</w:t>
      </w:r>
      <w:proofErr w:type="gramEnd"/>
      <w:r w:rsidR="00956BC7">
        <w:t xml:space="preserve"> ensure </w:t>
      </w:r>
      <w:r w:rsidR="009C31E8">
        <w:t>a reasonable level of safety for participants.</w:t>
      </w:r>
      <w:r w:rsidR="00A21EC4">
        <w:t xml:space="preserve">  </w:t>
      </w:r>
      <w:r w:rsidR="00F7504D">
        <w:t xml:space="preserve">These were adopted following close consultation with representatives of the Northeast Colorado </w:t>
      </w:r>
      <w:r w:rsidR="00C859D9">
        <w:t xml:space="preserve">Health </w:t>
      </w:r>
      <w:r w:rsidR="00F7504D">
        <w:t>Department</w:t>
      </w:r>
      <w:r w:rsidR="00C859D9">
        <w:t xml:space="preserve"> (NEC</w:t>
      </w:r>
      <w:r w:rsidR="00D21967">
        <w:t>HD)</w:t>
      </w:r>
      <w:r w:rsidR="00F7504D">
        <w:t xml:space="preserve">.  </w:t>
      </w:r>
    </w:p>
    <w:p w14:paraId="5A815EE8" w14:textId="3AD82425" w:rsidR="00E71239" w:rsidRDefault="00A21EC4">
      <w:pPr>
        <w:pStyle w:val="BodyText"/>
        <w:spacing w:before="87" w:line="487" w:lineRule="auto"/>
        <w:ind w:left="100" w:right="48" w:firstLine="719"/>
      </w:pPr>
      <w:r>
        <w:t xml:space="preserve">At that time, </w:t>
      </w:r>
      <w:r w:rsidR="007966D3">
        <w:t xml:space="preserve">on June 7, 2020, </w:t>
      </w:r>
      <w:r>
        <w:t xml:space="preserve">Logan County had </w:t>
      </w:r>
      <w:r w:rsidR="0046420C">
        <w:t>631 positive cases of COVID</w:t>
      </w:r>
      <w:r w:rsidR="00C539EC">
        <w:t>-19</w:t>
      </w:r>
      <w:r w:rsidR="0046420C">
        <w:t xml:space="preserve">, </w:t>
      </w:r>
      <w:r w:rsidR="0054001D">
        <w:t xml:space="preserve">cumulatively, </w:t>
      </w:r>
      <w:r w:rsidR="0046420C">
        <w:t>most of which were found at the Sterling Correctional Facility.</w:t>
      </w:r>
      <w:r w:rsidR="007966D3">
        <w:t xml:space="preserve">  </w:t>
      </w:r>
      <w:r w:rsidR="005E6FB5">
        <w:t xml:space="preserve">At that point, five </w:t>
      </w:r>
      <w:r w:rsidR="00970517">
        <w:t>persons h</w:t>
      </w:r>
      <w:r w:rsidR="00C539EC">
        <w:t xml:space="preserve">ad died whose deaths had some association with COVID-19.  </w:t>
      </w:r>
      <w:r w:rsidR="007966D3">
        <w:t xml:space="preserve">Now, </w:t>
      </w:r>
      <w:r w:rsidR="00C539EC">
        <w:t>as of November 2</w:t>
      </w:r>
      <w:r w:rsidR="0054001D">
        <w:t>2</w:t>
      </w:r>
      <w:r w:rsidR="00C539EC">
        <w:t xml:space="preserve">, 2020, </w:t>
      </w:r>
      <w:r w:rsidR="007966D3">
        <w:t>Logan County has exper</w:t>
      </w:r>
      <w:r w:rsidR="00C539EC">
        <w:t xml:space="preserve">ienced </w:t>
      </w:r>
      <w:r w:rsidR="00D570E3">
        <w:t xml:space="preserve">2,028 cases, with 28 </w:t>
      </w:r>
      <w:r w:rsidR="006F5C31">
        <w:t xml:space="preserve">associated </w:t>
      </w:r>
      <w:r w:rsidR="00D570E3">
        <w:t>deaths</w:t>
      </w:r>
      <w:r w:rsidR="00B24785">
        <w:t>, cumulatively</w:t>
      </w:r>
      <w:r w:rsidR="00D570E3">
        <w:t>.</w:t>
      </w:r>
      <w:r w:rsidR="006F5C31">
        <w:t xml:space="preserve">  </w:t>
      </w:r>
      <w:proofErr w:type="gramStart"/>
      <w:r w:rsidR="00004ABB">
        <w:t>Also</w:t>
      </w:r>
      <w:proofErr w:type="gramEnd"/>
      <w:r w:rsidR="00004ABB">
        <w:t xml:space="preserve"> noteworthy</w:t>
      </w:r>
      <w:r w:rsidR="006F5C31">
        <w:t>,</w:t>
      </w:r>
      <w:r w:rsidR="0054001D">
        <w:t xml:space="preserve"> the County now has </w:t>
      </w:r>
      <w:r w:rsidR="002C7981">
        <w:t>476</w:t>
      </w:r>
      <w:r w:rsidR="0054001D">
        <w:t xml:space="preserve"> active</w:t>
      </w:r>
      <w:r w:rsidR="005E6FB5">
        <w:t xml:space="preserve"> cases</w:t>
      </w:r>
      <w:r w:rsidR="00A151F7">
        <w:t xml:space="preserve">, </w:t>
      </w:r>
      <w:r w:rsidR="002C7981">
        <w:t xml:space="preserve">excluding incarcerated </w:t>
      </w:r>
      <w:r w:rsidR="00366A3F">
        <w:t xml:space="preserve">patients, </w:t>
      </w:r>
      <w:r w:rsidR="00A151F7">
        <w:t>and while hospitalizations have decreased</w:t>
      </w:r>
      <w:r w:rsidR="00DA2392">
        <w:t xml:space="preserve">, </w:t>
      </w:r>
      <w:r w:rsidR="00366A3F">
        <w:t xml:space="preserve">thankfully, </w:t>
      </w:r>
      <w:r w:rsidR="00864E50">
        <w:t xml:space="preserve">but </w:t>
      </w:r>
      <w:r w:rsidR="00C71E03">
        <w:t>new cases over the last fourteen days have increased over the previous fourteen by over 4</w:t>
      </w:r>
      <w:r w:rsidR="00DA5A55">
        <w:t>4.9</w:t>
      </w:r>
      <w:r w:rsidR="00C71E03">
        <w:t xml:space="preserve">%.  </w:t>
      </w:r>
    </w:p>
    <w:p w14:paraId="73E077D9" w14:textId="77777777" w:rsidR="00B57217" w:rsidRDefault="00B57217">
      <w:pPr>
        <w:pStyle w:val="BodyText"/>
        <w:spacing w:before="87" w:line="487" w:lineRule="auto"/>
        <w:ind w:left="100" w:right="48" w:firstLine="719"/>
      </w:pPr>
    </w:p>
    <w:p w14:paraId="3DE78D69" w14:textId="657AC4C2" w:rsidR="009C31E8" w:rsidRDefault="00B57217">
      <w:pPr>
        <w:pStyle w:val="BodyText"/>
        <w:spacing w:before="87" w:line="487" w:lineRule="auto"/>
        <w:ind w:left="100" w:right="48" w:firstLine="719"/>
      </w:pPr>
      <w:r>
        <w:t>The four other counties which are subject to this Order have seen increases in case numbers which are even more dramatic</w:t>
      </w:r>
      <w:r w:rsidR="00DD660A">
        <w:t xml:space="preserve"> in some instances</w:t>
      </w:r>
      <w:r>
        <w:t xml:space="preserve">, ranging from </w:t>
      </w:r>
      <w:r w:rsidR="001A7372">
        <w:t>33% in Sedgwick County, 46%</w:t>
      </w:r>
      <w:r w:rsidR="00DE5B4C">
        <w:t xml:space="preserve"> in </w:t>
      </w:r>
      <w:r w:rsidR="003C6135">
        <w:t xml:space="preserve">Phillips </w:t>
      </w:r>
      <w:r w:rsidR="00DE5B4C">
        <w:t xml:space="preserve">County, </w:t>
      </w:r>
      <w:r w:rsidR="00274CDE">
        <w:t>6</w:t>
      </w:r>
      <w:r w:rsidR="00D770D2">
        <w:t>1</w:t>
      </w:r>
      <w:r w:rsidR="00274CDE">
        <w:t xml:space="preserve">% in Washington County </w:t>
      </w:r>
      <w:r w:rsidR="00292EB3">
        <w:t>to</w:t>
      </w:r>
      <w:r w:rsidR="00697FE4">
        <w:t xml:space="preserve"> </w:t>
      </w:r>
      <w:r w:rsidR="0056086F">
        <w:t>6</w:t>
      </w:r>
      <w:r w:rsidR="00697FE4">
        <w:t>8</w:t>
      </w:r>
      <w:r w:rsidR="0056086F">
        <w:t xml:space="preserve">% in Morgan County.  By contrast, </w:t>
      </w:r>
      <w:r w:rsidR="007C7E0B">
        <w:t xml:space="preserve">the number of new cases in Yuma County </w:t>
      </w:r>
      <w:r w:rsidR="0025652E">
        <w:t>increased</w:t>
      </w:r>
      <w:r w:rsidR="007C7E0B">
        <w:t xml:space="preserve"> </w:t>
      </w:r>
      <w:r w:rsidR="00A65377">
        <w:t>less significantly</w:t>
      </w:r>
      <w:r w:rsidR="007C7E0B">
        <w:t xml:space="preserve">, by </w:t>
      </w:r>
      <w:r w:rsidR="0025652E">
        <w:t>12.8</w:t>
      </w:r>
      <w:r w:rsidR="007C7E0B">
        <w:t>%</w:t>
      </w:r>
      <w:r w:rsidR="00CE056C">
        <w:t xml:space="preserve">, </w:t>
      </w:r>
      <w:r w:rsidR="00104A41">
        <w:t xml:space="preserve">as did </w:t>
      </w:r>
      <w:r w:rsidR="00913997">
        <w:t>the cases in Kit Carson County</w:t>
      </w:r>
      <w:r w:rsidR="007E6186">
        <w:t>.</w:t>
      </w:r>
      <w:r w:rsidR="007E6186">
        <w:rPr>
          <w:rStyle w:val="FootnoteReference"/>
        </w:rPr>
        <w:footnoteReference w:id="1"/>
      </w:r>
      <w:r w:rsidR="0054001D">
        <w:t xml:space="preserve"> </w:t>
      </w:r>
      <w:r w:rsidR="006F5C31">
        <w:t xml:space="preserve"> </w:t>
      </w:r>
      <w:r w:rsidR="00D570E3">
        <w:t xml:space="preserve">  </w:t>
      </w:r>
      <w:r w:rsidR="0046420C">
        <w:t xml:space="preserve">  </w:t>
      </w:r>
      <w:r w:rsidR="009C31E8">
        <w:t xml:space="preserve">  </w:t>
      </w:r>
    </w:p>
    <w:p w14:paraId="4838F351" w14:textId="1419FD82" w:rsidR="00D43FD4" w:rsidRDefault="009C31E8">
      <w:pPr>
        <w:pStyle w:val="BodyText"/>
        <w:spacing w:before="87" w:line="487" w:lineRule="auto"/>
        <w:ind w:left="100" w:right="48" w:firstLine="719"/>
      </w:pPr>
      <w:r>
        <w:t>A separate Administrative O</w:t>
      </w:r>
      <w:r w:rsidR="00834F53">
        <w:t xml:space="preserve">rder </w:t>
      </w:r>
      <w:r w:rsidR="00A21EC4">
        <w:t>provided additional guidelines for re-establishing more customary operations, while noting:</w:t>
      </w:r>
      <w:r w:rsidR="00834F53">
        <w:t xml:space="preserve"> </w:t>
      </w:r>
      <w:r w:rsidR="006546F5">
        <w:t>“</w:t>
      </w:r>
      <w:r w:rsidR="006546F5">
        <w:rPr>
          <w:rFonts w:ascii="Book Antiqua" w:hAnsi="Book Antiqua" w:cs="Arial"/>
          <w:sz w:val="24"/>
          <w:szCs w:val="24"/>
        </w:rPr>
        <w:t>P</w:t>
      </w:r>
      <w:r w:rsidR="006546F5" w:rsidRPr="00E243A8">
        <w:rPr>
          <w:rFonts w:ascii="Book Antiqua" w:hAnsi="Book Antiqua" w:cs="Arial"/>
          <w:sz w:val="24"/>
          <w:szCs w:val="24"/>
        </w:rPr>
        <w:t xml:space="preserve">LEASE KEEP IN MIND THIS </w:t>
      </w:r>
      <w:r w:rsidR="006546F5">
        <w:rPr>
          <w:rFonts w:ascii="Book Antiqua" w:hAnsi="Book Antiqua" w:cs="Arial"/>
          <w:sz w:val="24"/>
          <w:szCs w:val="24"/>
        </w:rPr>
        <w:t>ORDER</w:t>
      </w:r>
      <w:r w:rsidR="006546F5" w:rsidRPr="00E243A8">
        <w:rPr>
          <w:rFonts w:ascii="Book Antiqua" w:hAnsi="Book Antiqua" w:cs="Arial"/>
          <w:sz w:val="24"/>
          <w:szCs w:val="24"/>
        </w:rPr>
        <w:t xml:space="preserve"> IS A LIVING DOCUMENT AND THE INFORMATION MAY CHANGE</w:t>
      </w:r>
      <w:r w:rsidR="006546F5">
        <w:rPr>
          <w:rFonts w:ascii="Book Antiqua" w:hAnsi="Book Antiqua" w:cs="Arial"/>
          <w:sz w:val="24"/>
          <w:szCs w:val="24"/>
        </w:rPr>
        <w:t xml:space="preserve">. </w:t>
      </w:r>
      <w:r w:rsidR="006546F5">
        <w:t xml:space="preserve"> </w:t>
      </w:r>
      <w:r w:rsidR="00A21EC4">
        <w:t xml:space="preserve">See Administrative Order of May 7, 2020.  </w:t>
      </w:r>
      <w:r w:rsidR="005902EA">
        <w:t>As noted above, t</w:t>
      </w:r>
      <w:r w:rsidR="00834F53">
        <w:t>he circumstances have changed.</w:t>
      </w:r>
    </w:p>
    <w:p w14:paraId="7D2172DC" w14:textId="2DAAE2E8" w:rsidR="001C3205" w:rsidRDefault="00834F53">
      <w:pPr>
        <w:pStyle w:val="BodyText"/>
        <w:spacing w:before="11" w:line="487" w:lineRule="auto"/>
        <w:ind w:left="100" w:right="194" w:firstLine="719"/>
      </w:pPr>
      <w:r>
        <w:t xml:space="preserve">The pandemic </w:t>
      </w:r>
      <w:r w:rsidR="005902EA">
        <w:t xml:space="preserve">also </w:t>
      </w:r>
      <w:r>
        <w:t xml:space="preserve">has been the subject of numerous executive orders from the Colorado Governor and public health orders from the Colorado Department of Public Health and Environment (CDPHE). </w:t>
      </w:r>
      <w:r w:rsidR="00292EB3">
        <w:t>A</w:t>
      </w:r>
      <w:r>
        <w:t xml:space="preserve"> recent public health order, Public Health Order 20-36, was is</w:t>
      </w:r>
      <w:r>
        <w:t xml:space="preserve">sued November 2, 2020. PHO 20-36 confirmed that, as of November 2, there had been 112,147 known COVID cases in Colorado, </w:t>
      </w:r>
    </w:p>
    <w:p w14:paraId="42D5BBCD" w14:textId="77777777" w:rsidR="001C3205" w:rsidRDefault="001C3205">
      <w:pPr>
        <w:pStyle w:val="BodyText"/>
        <w:spacing w:before="11" w:line="487" w:lineRule="auto"/>
        <w:ind w:left="100" w:right="194" w:firstLine="719"/>
      </w:pPr>
    </w:p>
    <w:p w14:paraId="4838F358" w14:textId="7BBED74E" w:rsidR="00D43FD4" w:rsidRDefault="00834F53" w:rsidP="00E676CA">
      <w:pPr>
        <w:pStyle w:val="BodyText"/>
        <w:spacing w:before="11" w:line="487" w:lineRule="auto"/>
        <w:ind w:left="100" w:right="194"/>
      </w:pPr>
      <w:r>
        <w:t>9,114 hospitalizations and 2,126 deaths</w:t>
      </w:r>
      <w:r w:rsidR="00A768B6">
        <w:t xml:space="preserve"> attributed to or associated </w:t>
      </w:r>
      <w:r w:rsidR="00C71EC1">
        <w:t>with the virus</w:t>
      </w:r>
      <w:r>
        <w:t>.</w:t>
      </w:r>
      <w:r w:rsidR="003D508F">
        <w:rPr>
          <w:rStyle w:val="FootnoteReference"/>
        </w:rPr>
        <w:footnoteReference w:id="2"/>
      </w:r>
      <w:r>
        <w:t xml:space="preserve"> Just one day later, November 3, 2020, the number of cases rose by more than 2,000 to 114,709 a</w:t>
      </w:r>
      <w:r>
        <w:t>nd the number of hospitalizations rose by 66 to 9,180.</w:t>
      </w:r>
      <w:r w:rsidR="00E676CA">
        <w:t xml:space="preserve"> </w:t>
      </w:r>
      <w:r>
        <w:t xml:space="preserve"> PHO 20-36 </w:t>
      </w:r>
      <w:r w:rsidR="00A65377">
        <w:t xml:space="preserve">has since </w:t>
      </w:r>
      <w:r>
        <w:t>formally modified the preexisting COVID-19 Dial Dashboard into a color-coded dashboard that uses health-related</w:t>
      </w:r>
      <w:r w:rsidR="00E676CA">
        <w:t xml:space="preserve"> </w:t>
      </w:r>
      <w:r>
        <w:t>metrics to place individual counties in one of five levels of risk and safety—f</w:t>
      </w:r>
      <w:r>
        <w:t>rom</w:t>
      </w:r>
      <w:r w:rsidR="00E676CA">
        <w:t xml:space="preserve"> </w:t>
      </w:r>
      <w:r>
        <w:t>lowest risk to highest risk, Level Green, Protect Our Neighbors; Level Blue, Safer at Home—Cautious; Level Yellow, Safer at Home—Concern; Level Orange, Safer at Home—High Risk; and Level Red</w:t>
      </w:r>
      <w:r w:rsidR="00F32B77">
        <w:t>, Safer at Home--</w:t>
      </w:r>
      <w:r w:rsidR="00A0494A">
        <w:t>Severe Risk</w:t>
      </w:r>
      <w:r w:rsidR="00DF4E04">
        <w:t>, and Level Purple--</w:t>
      </w:r>
      <w:r>
        <w:t>Stay At Home</w:t>
      </w:r>
      <w:r w:rsidR="001D295F">
        <w:t>—Extreme Risk</w:t>
      </w:r>
      <w:r>
        <w:t>.</w:t>
      </w:r>
      <w:r w:rsidR="00133334">
        <w:t xml:space="preserve"> </w:t>
      </w:r>
      <w:r>
        <w:t xml:space="preserve"> The overall risk is determine</w:t>
      </w:r>
      <w:r>
        <w:t>d by three metrics—the number of new COVID-19 cases per 100,000 people over a 2-week period (the incidence rate), the percent of positive test results over a 14-day period (the positivity rate), and hospitalization rates over a 14-day period.</w:t>
      </w:r>
    </w:p>
    <w:p w14:paraId="4838F359" w14:textId="73B932A2" w:rsidR="00D43FD4" w:rsidRDefault="00834F53">
      <w:pPr>
        <w:pStyle w:val="BodyText"/>
        <w:spacing w:before="11" w:line="487" w:lineRule="auto"/>
        <w:ind w:left="100" w:right="48" w:firstLine="719"/>
      </w:pPr>
      <w:r>
        <w:t>The Dial prov</w:t>
      </w:r>
      <w:r>
        <w:t xml:space="preserve">ides information for all </w:t>
      </w:r>
      <w:r w:rsidR="00314C39">
        <w:t>seven</w:t>
      </w:r>
      <w:r>
        <w:t xml:space="preserve"> countries in the </w:t>
      </w:r>
      <w:r w:rsidR="00314C39">
        <w:t xml:space="preserve">Thirteenth </w:t>
      </w:r>
      <w:r>
        <w:t xml:space="preserve">Judicial District.  </w:t>
      </w:r>
    </w:p>
    <w:p w14:paraId="4838F360" w14:textId="7F538B9C" w:rsidR="00D43FD4" w:rsidRDefault="00D43FD4">
      <w:pPr>
        <w:pStyle w:val="BodyText"/>
        <w:spacing w:before="87" w:line="487" w:lineRule="auto"/>
        <w:ind w:left="100" w:right="48"/>
      </w:pPr>
    </w:p>
    <w:p w14:paraId="4838F36A" w14:textId="08D1DC94" w:rsidR="00D43FD4" w:rsidRDefault="00834F53">
      <w:pPr>
        <w:pStyle w:val="BodyText"/>
        <w:spacing w:before="11" w:line="487" w:lineRule="auto"/>
        <w:ind w:left="100" w:right="48" w:firstLine="719"/>
      </w:pPr>
      <w:r>
        <w:t xml:space="preserve">The next two months include a shift in seasons when indoor activities grow more common and social distancing grows more challenging. The next two months </w:t>
      </w:r>
      <w:r w:rsidR="001F175F">
        <w:t xml:space="preserve">also </w:t>
      </w:r>
      <w:r>
        <w:t>include major holidays w</w:t>
      </w:r>
      <w:r>
        <w:t xml:space="preserve">hen adherence to risk-mitigation guidelines is more </w:t>
      </w:r>
      <w:r w:rsidR="001F175F">
        <w:t>difficult</w:t>
      </w:r>
      <w:r>
        <w:t>.</w:t>
      </w:r>
    </w:p>
    <w:p w14:paraId="4838F36C" w14:textId="5E137A47" w:rsidR="00D43FD4" w:rsidRDefault="00834F53" w:rsidP="000674AF">
      <w:pPr>
        <w:pStyle w:val="BodyText"/>
        <w:spacing w:before="11" w:line="487" w:lineRule="auto"/>
        <w:ind w:left="100" w:right="261" w:firstLine="719"/>
      </w:pPr>
      <w:r>
        <w:t xml:space="preserve">The disease trends in </w:t>
      </w:r>
      <w:r w:rsidR="00204BCF">
        <w:t>Logan, Morgan, Phillips, Sedgwick and Washington C</w:t>
      </w:r>
      <w:r>
        <w:t xml:space="preserve">ounties and the additional information above cause the Chief Judge to conclude, for the </w:t>
      </w:r>
      <w:proofErr w:type="gramStart"/>
      <w:r>
        <w:t>period of time</w:t>
      </w:r>
      <w:proofErr w:type="gramEnd"/>
      <w:r>
        <w:t xml:space="preserve"> ordered, that jury pools </w:t>
      </w:r>
      <w:r w:rsidR="001F4FC4">
        <w:t xml:space="preserve">for felony trials </w:t>
      </w:r>
      <w:r>
        <w:t>cannot be safely ass</w:t>
      </w:r>
      <w:r>
        <w:t xml:space="preserve">embled in these </w:t>
      </w:r>
      <w:r w:rsidR="000A0D37">
        <w:t xml:space="preserve">five </w:t>
      </w:r>
      <w:r>
        <w:t>counties</w:t>
      </w:r>
      <w:r w:rsidR="000A0D37">
        <w:t xml:space="preserve"> for felony trials</w:t>
      </w:r>
      <w:r>
        <w:t xml:space="preserve">. </w:t>
      </w:r>
      <w:r w:rsidR="000674AF">
        <w:t xml:space="preserve"> T</w:t>
      </w:r>
      <w:r>
        <w:t xml:space="preserve">he Dial in </w:t>
      </w:r>
      <w:r w:rsidR="00204BCF">
        <w:t xml:space="preserve">Kit Carson </w:t>
      </w:r>
      <w:r w:rsidR="0018654E">
        <w:t xml:space="preserve">remains </w:t>
      </w:r>
      <w:r w:rsidR="000674AF">
        <w:t xml:space="preserve">orange, </w:t>
      </w:r>
      <w:r w:rsidR="00204BCF">
        <w:t>and Yuma</w:t>
      </w:r>
      <w:r>
        <w:t xml:space="preserve"> Count</w:t>
      </w:r>
      <w:r w:rsidR="000674AF">
        <w:t>y</w:t>
      </w:r>
      <w:r w:rsidR="00204BCF">
        <w:t xml:space="preserve"> </w:t>
      </w:r>
      <w:r>
        <w:t xml:space="preserve">remains </w:t>
      </w:r>
      <w:r w:rsidR="00204BCF">
        <w:t>yellow</w:t>
      </w:r>
      <w:r>
        <w:t>; it is proper to allow jury</w:t>
      </w:r>
      <w:r w:rsidR="000674AF">
        <w:t xml:space="preserve"> </w:t>
      </w:r>
      <w:r>
        <w:t>trials to continue there under the requirements of the Jury Plan.</w:t>
      </w:r>
    </w:p>
    <w:p w14:paraId="4838F371" w14:textId="77777777" w:rsidR="00D43FD4" w:rsidRDefault="00834F53">
      <w:pPr>
        <w:pStyle w:val="BodyText"/>
        <w:spacing w:before="87" w:line="487" w:lineRule="auto"/>
        <w:ind w:left="100" w:right="257" w:firstLine="719"/>
      </w:pPr>
      <w:r>
        <w:t>Pursuant to the authority granted in Chief Justice Directive 95-01 and Chief Justice Order dated July 24, 2020, it is hereby ORDERED as follows:</w:t>
      </w:r>
    </w:p>
    <w:p w14:paraId="732AD6B2" w14:textId="77777777" w:rsidR="008C24EF" w:rsidRDefault="00834F53">
      <w:pPr>
        <w:spacing w:before="16" w:line="487" w:lineRule="auto"/>
        <w:ind w:left="100" w:right="230" w:firstLine="719"/>
        <w:rPr>
          <w:sz w:val="28"/>
        </w:rPr>
      </w:pPr>
      <w:r>
        <w:rPr>
          <w:sz w:val="28"/>
        </w:rPr>
        <w:t xml:space="preserve">The Courts of the </w:t>
      </w:r>
      <w:r w:rsidR="004C26D2">
        <w:rPr>
          <w:sz w:val="28"/>
        </w:rPr>
        <w:t xml:space="preserve">Thirteenth </w:t>
      </w:r>
      <w:r>
        <w:rPr>
          <w:sz w:val="28"/>
        </w:rPr>
        <w:t xml:space="preserve">Judicial District that sit in </w:t>
      </w:r>
      <w:r w:rsidR="004C26D2">
        <w:rPr>
          <w:b/>
          <w:bCs/>
          <w:sz w:val="28"/>
        </w:rPr>
        <w:t>Logan, Morgan, Phillips, Sedgwick</w:t>
      </w:r>
      <w:r w:rsidR="00B80355">
        <w:rPr>
          <w:b/>
          <w:bCs/>
          <w:sz w:val="28"/>
        </w:rPr>
        <w:t xml:space="preserve"> and Washington</w:t>
      </w:r>
      <w:r>
        <w:rPr>
          <w:b/>
          <w:sz w:val="28"/>
        </w:rPr>
        <w:t xml:space="preserve"> Counties </w:t>
      </w:r>
      <w:r>
        <w:rPr>
          <w:sz w:val="28"/>
        </w:rPr>
        <w:t>hereby suspend the summoning</w:t>
      </w:r>
      <w:r>
        <w:rPr>
          <w:sz w:val="28"/>
        </w:rPr>
        <w:t xml:space="preserve"> </w:t>
      </w:r>
    </w:p>
    <w:p w14:paraId="6EC7277B" w14:textId="77777777" w:rsidR="00F32B77" w:rsidRDefault="00834F53" w:rsidP="00CD7AED">
      <w:pPr>
        <w:spacing w:before="16" w:line="487" w:lineRule="auto"/>
        <w:ind w:left="100" w:right="230"/>
        <w:rPr>
          <w:b/>
          <w:sz w:val="28"/>
        </w:rPr>
      </w:pPr>
      <w:r>
        <w:rPr>
          <w:sz w:val="28"/>
        </w:rPr>
        <w:t xml:space="preserve">of jurors for </w:t>
      </w:r>
      <w:r w:rsidR="00B80355">
        <w:rPr>
          <w:sz w:val="28"/>
        </w:rPr>
        <w:t xml:space="preserve">felony </w:t>
      </w:r>
      <w:r>
        <w:rPr>
          <w:sz w:val="28"/>
        </w:rPr>
        <w:t xml:space="preserve">jury trials set through </w:t>
      </w:r>
      <w:r w:rsidR="00E254BB">
        <w:rPr>
          <w:b/>
          <w:sz w:val="28"/>
        </w:rPr>
        <w:t xml:space="preserve">January </w:t>
      </w:r>
      <w:r w:rsidR="004C26D2">
        <w:rPr>
          <w:b/>
          <w:sz w:val="28"/>
        </w:rPr>
        <w:t>8</w:t>
      </w:r>
      <w:r>
        <w:rPr>
          <w:b/>
          <w:sz w:val="28"/>
        </w:rPr>
        <w:t>, 202</w:t>
      </w:r>
      <w:r w:rsidR="00E254BB">
        <w:rPr>
          <w:b/>
          <w:sz w:val="28"/>
        </w:rPr>
        <w:t>1</w:t>
      </w:r>
      <w:r>
        <w:rPr>
          <w:b/>
          <w:sz w:val="28"/>
        </w:rPr>
        <w:t xml:space="preserve">. No person will be summoned to report for jury service in these courts before January </w:t>
      </w:r>
      <w:r w:rsidR="00E254BB">
        <w:rPr>
          <w:b/>
          <w:sz w:val="28"/>
        </w:rPr>
        <w:t>11</w:t>
      </w:r>
      <w:r>
        <w:rPr>
          <w:b/>
          <w:sz w:val="28"/>
        </w:rPr>
        <w:t xml:space="preserve">, 2021. </w:t>
      </w:r>
    </w:p>
    <w:p w14:paraId="3B9205BA" w14:textId="77777777" w:rsidR="00F32B77" w:rsidRDefault="00F32B77" w:rsidP="00CD7AED">
      <w:pPr>
        <w:spacing w:before="16" w:line="487" w:lineRule="auto"/>
        <w:ind w:left="100" w:right="230"/>
        <w:rPr>
          <w:b/>
          <w:sz w:val="28"/>
        </w:rPr>
      </w:pPr>
    </w:p>
    <w:p w14:paraId="4838F372" w14:textId="69429D1B" w:rsidR="00D43FD4" w:rsidRDefault="00834F53" w:rsidP="00CD7AED">
      <w:pPr>
        <w:spacing w:before="16" w:line="487" w:lineRule="auto"/>
        <w:ind w:left="100" w:right="230"/>
        <w:rPr>
          <w:sz w:val="28"/>
        </w:rPr>
      </w:pPr>
      <w:r>
        <w:rPr>
          <w:sz w:val="28"/>
        </w:rPr>
        <w:t xml:space="preserve">Any persons with a summons to report for </w:t>
      </w:r>
      <w:r w:rsidR="00B80355">
        <w:rPr>
          <w:sz w:val="28"/>
        </w:rPr>
        <w:t xml:space="preserve">felony </w:t>
      </w:r>
      <w:r>
        <w:rPr>
          <w:sz w:val="28"/>
        </w:rPr>
        <w:t xml:space="preserve">jury duty in </w:t>
      </w:r>
      <w:r w:rsidR="00B80355">
        <w:rPr>
          <w:sz w:val="28"/>
        </w:rPr>
        <w:t xml:space="preserve">those </w:t>
      </w:r>
      <w:r>
        <w:rPr>
          <w:sz w:val="28"/>
        </w:rPr>
        <w:t>Count</w:t>
      </w:r>
      <w:r w:rsidR="00B80355">
        <w:rPr>
          <w:sz w:val="28"/>
        </w:rPr>
        <w:t>ies</w:t>
      </w:r>
      <w:r>
        <w:rPr>
          <w:sz w:val="28"/>
        </w:rPr>
        <w:t xml:space="preserve"> during this time period </w:t>
      </w:r>
      <w:r>
        <w:rPr>
          <w:sz w:val="28"/>
        </w:rPr>
        <w:t xml:space="preserve">are not required to appear. Any juror appearing in person on a summons through </w:t>
      </w:r>
      <w:r w:rsidR="00B80355">
        <w:rPr>
          <w:sz w:val="28"/>
        </w:rPr>
        <w:t>January 8</w:t>
      </w:r>
      <w:r>
        <w:rPr>
          <w:sz w:val="28"/>
        </w:rPr>
        <w:t>, 202</w:t>
      </w:r>
      <w:r w:rsidR="00B80355">
        <w:rPr>
          <w:sz w:val="28"/>
        </w:rPr>
        <w:t>1</w:t>
      </w:r>
      <w:r>
        <w:rPr>
          <w:sz w:val="28"/>
        </w:rPr>
        <w:t>, shall be informed by the court or security team that the person’s jury service has been cancelled and that person may return home.</w:t>
      </w:r>
    </w:p>
    <w:p w14:paraId="60898330" w14:textId="77777777" w:rsidR="005E1310" w:rsidRDefault="00CD7AED" w:rsidP="00CD7AED">
      <w:pPr>
        <w:spacing w:before="16" w:line="487" w:lineRule="auto"/>
        <w:ind w:left="100" w:right="230"/>
        <w:rPr>
          <w:sz w:val="28"/>
        </w:rPr>
      </w:pPr>
      <w:r>
        <w:rPr>
          <w:sz w:val="28"/>
        </w:rPr>
        <w:tab/>
      </w:r>
      <w:r w:rsidR="003D3D79">
        <w:rPr>
          <w:sz w:val="28"/>
        </w:rPr>
        <w:t>M</w:t>
      </w:r>
      <w:r>
        <w:rPr>
          <w:sz w:val="28"/>
        </w:rPr>
        <w:t xml:space="preserve">isdemeanor </w:t>
      </w:r>
      <w:r w:rsidR="003D3D79">
        <w:rPr>
          <w:sz w:val="28"/>
        </w:rPr>
        <w:t xml:space="preserve">jury </w:t>
      </w:r>
      <w:r>
        <w:rPr>
          <w:sz w:val="28"/>
        </w:rPr>
        <w:t xml:space="preserve">trials </w:t>
      </w:r>
      <w:r w:rsidR="006F2BE9">
        <w:rPr>
          <w:sz w:val="28"/>
        </w:rPr>
        <w:t xml:space="preserve">do not require the calling of as many jurors as do felony cases.  Further, some felony cases require </w:t>
      </w:r>
      <w:r w:rsidR="00205C13">
        <w:rPr>
          <w:sz w:val="28"/>
        </w:rPr>
        <w:t xml:space="preserve">an enhanced number of jurors to be called due to the nature of the cases, for example, </w:t>
      </w:r>
      <w:r w:rsidR="002A7DD7">
        <w:rPr>
          <w:sz w:val="28"/>
        </w:rPr>
        <w:t>those cases in which children are alleged to be victims.  Also, the level of risk for jury participants is lower for trials w</w:t>
      </w:r>
      <w:r w:rsidR="00CD76D3">
        <w:rPr>
          <w:sz w:val="28"/>
        </w:rPr>
        <w:t xml:space="preserve">hich are shorter in duration.  In almost every instance, a misdemeanor </w:t>
      </w:r>
      <w:r w:rsidR="003D3D79">
        <w:rPr>
          <w:sz w:val="28"/>
        </w:rPr>
        <w:t xml:space="preserve">trial can be concluded in one day.  </w:t>
      </w:r>
      <w:r w:rsidR="00AC6361">
        <w:rPr>
          <w:sz w:val="28"/>
        </w:rPr>
        <w:t xml:space="preserve">Finally, as noted above, the right to a speedy trial is </w:t>
      </w:r>
      <w:r w:rsidR="005E1310">
        <w:rPr>
          <w:sz w:val="28"/>
        </w:rPr>
        <w:t xml:space="preserve">an important one, both for accused and alleged victims.  </w:t>
      </w:r>
    </w:p>
    <w:p w14:paraId="13F5436F" w14:textId="77777777" w:rsidR="005D32C0" w:rsidRDefault="005E1310" w:rsidP="005E1310">
      <w:pPr>
        <w:spacing w:before="16" w:line="487" w:lineRule="auto"/>
        <w:ind w:left="100" w:right="230" w:firstLine="620"/>
        <w:rPr>
          <w:sz w:val="28"/>
        </w:rPr>
      </w:pPr>
      <w:r>
        <w:rPr>
          <w:sz w:val="28"/>
        </w:rPr>
        <w:t xml:space="preserve">Balancing these considerations, </w:t>
      </w:r>
      <w:r w:rsidR="003D3D79">
        <w:rPr>
          <w:sz w:val="28"/>
        </w:rPr>
        <w:t>th</w:t>
      </w:r>
      <w:r w:rsidR="00AC6361">
        <w:rPr>
          <w:sz w:val="28"/>
        </w:rPr>
        <w:t xml:space="preserve">is Order does not suspend misdemeanor </w:t>
      </w:r>
      <w:r>
        <w:rPr>
          <w:sz w:val="28"/>
        </w:rPr>
        <w:t>trials in any County in the 13</w:t>
      </w:r>
      <w:r w:rsidRPr="005E1310">
        <w:rPr>
          <w:sz w:val="28"/>
          <w:vertAlign w:val="superscript"/>
        </w:rPr>
        <w:t>th</w:t>
      </w:r>
      <w:r>
        <w:rPr>
          <w:sz w:val="28"/>
        </w:rPr>
        <w:t xml:space="preserve"> Judicial District.  Of course, it is expected that </w:t>
      </w:r>
    </w:p>
    <w:p w14:paraId="2AC2EBBF" w14:textId="77777777" w:rsidR="00F32B77" w:rsidRDefault="00B463C0" w:rsidP="005D32C0">
      <w:pPr>
        <w:spacing w:before="16" w:line="487" w:lineRule="auto"/>
        <w:ind w:left="100" w:right="230"/>
        <w:rPr>
          <w:sz w:val="28"/>
        </w:rPr>
      </w:pPr>
      <w:r>
        <w:rPr>
          <w:sz w:val="28"/>
        </w:rPr>
        <w:t xml:space="preserve">parties and the presiding judicial officers proceed cautiously with such trials, adhering to the guidelines </w:t>
      </w:r>
      <w:r w:rsidR="005D32C0">
        <w:rPr>
          <w:sz w:val="28"/>
        </w:rPr>
        <w:t>set forth in the jury plans of the respective counties.</w:t>
      </w:r>
      <w:r w:rsidR="00437C04">
        <w:rPr>
          <w:sz w:val="28"/>
        </w:rPr>
        <w:t xml:space="preserve">  </w:t>
      </w:r>
    </w:p>
    <w:p w14:paraId="6B7BB63B" w14:textId="77777777" w:rsidR="00F32B77" w:rsidRDefault="00F32B77" w:rsidP="005D32C0">
      <w:pPr>
        <w:spacing w:before="16" w:line="487" w:lineRule="auto"/>
        <w:ind w:left="100" w:right="230"/>
        <w:rPr>
          <w:sz w:val="28"/>
        </w:rPr>
      </w:pPr>
    </w:p>
    <w:p w14:paraId="3E70AD4B" w14:textId="5C34E02A" w:rsidR="00CD7AED" w:rsidRDefault="00437C04" w:rsidP="008F6127">
      <w:pPr>
        <w:spacing w:before="16" w:line="487" w:lineRule="auto"/>
        <w:ind w:left="100" w:right="230" w:firstLine="620"/>
        <w:rPr>
          <w:sz w:val="28"/>
        </w:rPr>
      </w:pPr>
      <w:r>
        <w:rPr>
          <w:sz w:val="28"/>
        </w:rPr>
        <w:t>Nothing herein shall impair the ability of a judicial officer to continue a</w:t>
      </w:r>
      <w:r w:rsidR="008F6127">
        <w:rPr>
          <w:sz w:val="28"/>
        </w:rPr>
        <w:t>ny</w:t>
      </w:r>
      <w:r>
        <w:rPr>
          <w:sz w:val="28"/>
        </w:rPr>
        <w:t xml:space="preserve"> trial</w:t>
      </w:r>
      <w:r w:rsidR="00E013F3">
        <w:rPr>
          <w:sz w:val="28"/>
        </w:rPr>
        <w:t xml:space="preserve"> </w:t>
      </w:r>
      <w:proofErr w:type="gramStart"/>
      <w:r w:rsidR="00E013F3">
        <w:rPr>
          <w:sz w:val="28"/>
        </w:rPr>
        <w:t>under circumstances in which</w:t>
      </w:r>
      <w:proofErr w:type="gramEnd"/>
      <w:r w:rsidR="00E013F3">
        <w:rPr>
          <w:sz w:val="28"/>
        </w:rPr>
        <w:t xml:space="preserve"> that officer determines, in her or his discretion, that a jury trial cannot be safely conducted under a given set of circumstances.</w:t>
      </w:r>
      <w:r w:rsidR="005D32C0">
        <w:rPr>
          <w:sz w:val="28"/>
        </w:rPr>
        <w:t xml:space="preserve"> </w:t>
      </w:r>
      <w:r w:rsidR="003D3D79">
        <w:rPr>
          <w:sz w:val="28"/>
        </w:rPr>
        <w:t xml:space="preserve">  </w:t>
      </w:r>
    </w:p>
    <w:p w14:paraId="4838F373" w14:textId="5BBDF68F" w:rsidR="00D43FD4" w:rsidRDefault="00834F53">
      <w:pPr>
        <w:pStyle w:val="BodyText"/>
        <w:spacing w:before="11" w:line="487" w:lineRule="auto"/>
        <w:ind w:left="100" w:right="43" w:firstLine="719"/>
      </w:pPr>
      <w:r>
        <w:t>Jury commissioners shall co</w:t>
      </w:r>
      <w:r>
        <w:t xml:space="preserve">ntinue to summon jurors for any jury trials scheduled to begin on or after January </w:t>
      </w:r>
      <w:r w:rsidR="008C2675">
        <w:t>11</w:t>
      </w:r>
      <w:r>
        <w:t xml:space="preserve">, 2021. Jurors who have a jury summons for a date to appear commencing on or after January </w:t>
      </w:r>
      <w:r w:rsidR="008C2675">
        <w:t>11</w:t>
      </w:r>
      <w:r>
        <w:t>, 2021, should continue to monitor the Court’s website for updates.</w:t>
      </w:r>
    </w:p>
    <w:p w14:paraId="2B66D93E" w14:textId="77777777" w:rsidR="00CD7AED" w:rsidRDefault="00834F53" w:rsidP="00CD7AED">
      <w:pPr>
        <w:spacing w:before="16"/>
        <w:ind w:firstLine="720"/>
        <w:rPr>
          <w:sz w:val="28"/>
        </w:rPr>
      </w:pPr>
      <w:r>
        <w:rPr>
          <w:sz w:val="28"/>
        </w:rPr>
        <w:t>This Order c</w:t>
      </w:r>
      <w:r>
        <w:rPr>
          <w:sz w:val="28"/>
        </w:rPr>
        <w:t xml:space="preserve">reates </w:t>
      </w:r>
      <w:r>
        <w:rPr>
          <w:b/>
          <w:sz w:val="28"/>
        </w:rPr>
        <w:t xml:space="preserve">no change in </w:t>
      </w:r>
      <w:r w:rsidR="008C2675">
        <w:rPr>
          <w:b/>
          <w:sz w:val="28"/>
        </w:rPr>
        <w:t>Kit Carson or Yuma</w:t>
      </w:r>
      <w:r>
        <w:rPr>
          <w:b/>
          <w:sz w:val="28"/>
        </w:rPr>
        <w:t xml:space="preserve"> Count</w:t>
      </w:r>
      <w:r w:rsidR="008C2675">
        <w:rPr>
          <w:b/>
          <w:sz w:val="28"/>
        </w:rPr>
        <w:t>ies</w:t>
      </w:r>
      <w:r>
        <w:rPr>
          <w:b/>
          <w:sz w:val="28"/>
        </w:rPr>
        <w:t xml:space="preserve"> </w:t>
      </w:r>
      <w:r>
        <w:rPr>
          <w:sz w:val="28"/>
        </w:rPr>
        <w:t>where</w:t>
      </w:r>
      <w:r w:rsidR="00564166">
        <w:rPr>
          <w:sz w:val="28"/>
        </w:rPr>
        <w:t xml:space="preserve"> </w:t>
      </w:r>
      <w:r>
        <w:rPr>
          <w:sz w:val="28"/>
        </w:rPr>
        <w:t xml:space="preserve">jurors </w:t>
      </w:r>
    </w:p>
    <w:p w14:paraId="21319BF7" w14:textId="77777777" w:rsidR="00CD7AED" w:rsidRDefault="00CD7AED" w:rsidP="00CD7AED">
      <w:pPr>
        <w:spacing w:before="16"/>
        <w:ind w:firstLine="720"/>
        <w:rPr>
          <w:sz w:val="28"/>
        </w:rPr>
      </w:pPr>
    </w:p>
    <w:p w14:paraId="327EE79E" w14:textId="77777777" w:rsidR="00CD7AED" w:rsidRDefault="00834F53" w:rsidP="00CD7AED">
      <w:pPr>
        <w:spacing w:before="16"/>
        <w:rPr>
          <w:sz w:val="28"/>
          <w:szCs w:val="28"/>
        </w:rPr>
      </w:pPr>
      <w:r>
        <w:rPr>
          <w:sz w:val="28"/>
        </w:rPr>
        <w:t xml:space="preserve">may </w:t>
      </w:r>
      <w:r w:rsidRPr="00CD7AED">
        <w:rPr>
          <w:sz w:val="28"/>
          <w:szCs w:val="28"/>
        </w:rPr>
        <w:t>be</w:t>
      </w:r>
      <w:r w:rsidR="00CD7AED">
        <w:rPr>
          <w:sz w:val="28"/>
          <w:szCs w:val="28"/>
        </w:rPr>
        <w:t xml:space="preserve"> </w:t>
      </w:r>
      <w:r w:rsidRPr="00CD7AED">
        <w:rPr>
          <w:sz w:val="28"/>
          <w:szCs w:val="28"/>
        </w:rPr>
        <w:t>summoned and jury trials may proceed under the terms of th</w:t>
      </w:r>
      <w:r w:rsidR="008C2675" w:rsidRPr="00CD7AED">
        <w:rPr>
          <w:sz w:val="28"/>
          <w:szCs w:val="28"/>
        </w:rPr>
        <w:t xml:space="preserve">ose Counties </w:t>
      </w:r>
    </w:p>
    <w:p w14:paraId="0E49513D" w14:textId="77777777" w:rsidR="00CD7AED" w:rsidRDefault="00CD7AED" w:rsidP="00CD7AED">
      <w:pPr>
        <w:spacing w:before="16"/>
        <w:rPr>
          <w:sz w:val="28"/>
          <w:szCs w:val="28"/>
        </w:rPr>
      </w:pPr>
    </w:p>
    <w:p w14:paraId="4838F376" w14:textId="4988559D" w:rsidR="00D43FD4" w:rsidRDefault="008C2675" w:rsidP="00CD7AED">
      <w:pPr>
        <w:spacing w:before="16"/>
      </w:pPr>
      <w:r w:rsidRPr="00CD7AED">
        <w:rPr>
          <w:sz w:val="28"/>
          <w:szCs w:val="28"/>
        </w:rPr>
        <w:t>respective jury plans</w:t>
      </w:r>
      <w:r w:rsidR="00834F53">
        <w:t>.</w:t>
      </w:r>
    </w:p>
    <w:p w14:paraId="4838F37A" w14:textId="77777777" w:rsidR="00D43FD4" w:rsidRDefault="00D43FD4">
      <w:pPr>
        <w:pStyle w:val="BodyText"/>
        <w:spacing w:before="7"/>
        <w:rPr>
          <w:sz w:val="26"/>
        </w:rPr>
      </w:pPr>
    </w:p>
    <w:p w14:paraId="4838F37B" w14:textId="448E458E" w:rsidR="00D43FD4" w:rsidRDefault="00834F53">
      <w:pPr>
        <w:pStyle w:val="BodyText"/>
        <w:spacing w:before="87" w:line="487" w:lineRule="auto"/>
        <w:ind w:left="100" w:right="308" w:firstLine="719"/>
      </w:pPr>
      <w:r>
        <w:t>Except to confirm jurors will not be summoned and juries will not be available for the time and locations cov</w:t>
      </w:r>
      <w:r>
        <w:t xml:space="preserve">ered by this order, this order by itself does not change any </w:t>
      </w:r>
      <w:r w:rsidR="007D7680">
        <w:t xml:space="preserve">trial </w:t>
      </w:r>
      <w:bookmarkStart w:id="0" w:name="_GoBack"/>
      <w:bookmarkEnd w:id="0"/>
      <w:r>
        <w:t>settings; specific changes shall only be by order of the judge presiding over a particular case.</w:t>
      </w:r>
    </w:p>
    <w:p w14:paraId="4838F37C" w14:textId="3DDEBE73" w:rsidR="00D43FD4" w:rsidRDefault="00834F53">
      <w:pPr>
        <w:pStyle w:val="BodyText"/>
        <w:spacing w:before="11" w:line="487" w:lineRule="auto"/>
        <w:ind w:left="100" w:right="724" w:firstLine="719"/>
      </w:pPr>
      <w:r>
        <w:t xml:space="preserve">This order is subject to </w:t>
      </w:r>
      <w:r w:rsidR="000F5198">
        <w:t xml:space="preserve">further </w:t>
      </w:r>
      <w:r>
        <w:t>review and revision in accordance with ongoing pandemic trends and public</w:t>
      </w:r>
      <w:r>
        <w:t xml:space="preserve"> health guidelines.</w:t>
      </w:r>
    </w:p>
    <w:p w14:paraId="4D8515C2" w14:textId="77777777" w:rsidR="00CB0535" w:rsidRDefault="00CB0535">
      <w:pPr>
        <w:pStyle w:val="BodyText"/>
        <w:spacing w:before="11"/>
        <w:ind w:left="100"/>
      </w:pPr>
    </w:p>
    <w:p w14:paraId="4838F37D" w14:textId="06AD9DA2" w:rsidR="00D43FD4" w:rsidRDefault="00834F53">
      <w:pPr>
        <w:pStyle w:val="BodyText"/>
        <w:spacing w:before="11"/>
        <w:ind w:left="100"/>
      </w:pPr>
      <w:r>
        <w:t xml:space="preserve">Done on November </w:t>
      </w:r>
      <w:r w:rsidR="0048484C">
        <w:t>2</w:t>
      </w:r>
      <w:r w:rsidR="00CD7AED">
        <w:t>3</w:t>
      </w:r>
      <w:r>
        <w:t>, 2020.</w:t>
      </w:r>
    </w:p>
    <w:p w14:paraId="1795FB23" w14:textId="77777777" w:rsidR="000F5198" w:rsidRDefault="000F5198">
      <w:pPr>
        <w:pStyle w:val="BodyText"/>
        <w:spacing w:before="11"/>
        <w:ind w:left="100"/>
      </w:pPr>
    </w:p>
    <w:p w14:paraId="4838F37E" w14:textId="2177F19A" w:rsidR="00D43FD4" w:rsidRDefault="000F5198">
      <w:pPr>
        <w:pStyle w:val="BodyText"/>
        <w:spacing w:before="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BY THE COURT: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7C6B94" w14:textId="7F85ADFB" w:rsidR="000F5198" w:rsidRPr="0048484C" w:rsidRDefault="000F5198">
      <w:pPr>
        <w:pStyle w:val="BodyText"/>
        <w:spacing w:before="8"/>
        <w:rPr>
          <w:rFonts w:ascii="Blackadder ITC" w:hAnsi="Blackadder ITC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Hlk9495186"/>
      <w:r w:rsidR="00766C2A" w:rsidRPr="00B61E70">
        <w:rPr>
          <w:noProof/>
          <w:color w:val="4BACC6"/>
          <w:sz w:val="24"/>
          <w:szCs w:val="24"/>
          <w:u w:val="single"/>
        </w:rPr>
        <w:drawing>
          <wp:inline distT="0" distB="0" distL="0" distR="0" wp14:anchorId="4677ED26" wp14:editId="01D1AAF1">
            <wp:extent cx="1411605" cy="4234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423481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proofErr w:type="spellStart"/>
      <w:r w:rsidR="0048484C">
        <w:rPr>
          <w:rFonts w:ascii="Blackadder ITC" w:hAnsi="Blackadder ITC"/>
          <w:sz w:val="16"/>
          <w:szCs w:val="16"/>
        </w:rPr>
        <w:t>sdg</w:t>
      </w:r>
      <w:proofErr w:type="spellEnd"/>
    </w:p>
    <w:p w14:paraId="05133FB4" w14:textId="34512553" w:rsidR="00766C2A" w:rsidRDefault="00766C2A">
      <w:pPr>
        <w:pStyle w:val="BodyText"/>
        <w:spacing w:before="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484C">
        <w:t>Chief Judge</w:t>
      </w:r>
    </w:p>
    <w:sectPr w:rsidR="00766C2A">
      <w:headerReference w:type="default" r:id="rId12"/>
      <w:footerReference w:type="default" r:id="rId13"/>
      <w:pgSz w:w="12240" w:h="15840"/>
      <w:pgMar w:top="2720" w:right="1320" w:bottom="1980" w:left="1340" w:header="2172" w:footer="17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8F38A" w14:textId="77777777" w:rsidR="00000000" w:rsidRDefault="00834F53">
      <w:r>
        <w:separator/>
      </w:r>
    </w:p>
  </w:endnote>
  <w:endnote w:type="continuationSeparator" w:id="0">
    <w:p w14:paraId="4838F38C" w14:textId="77777777" w:rsidR="00000000" w:rsidRDefault="0083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8F385" w14:textId="183FCDD9" w:rsidR="00D43FD4" w:rsidRDefault="00D43FD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8F386" w14:textId="77777777" w:rsidR="00000000" w:rsidRDefault="00834F53">
      <w:r>
        <w:separator/>
      </w:r>
    </w:p>
  </w:footnote>
  <w:footnote w:type="continuationSeparator" w:id="0">
    <w:p w14:paraId="4838F388" w14:textId="77777777" w:rsidR="00000000" w:rsidRDefault="00834F53">
      <w:r>
        <w:continuationSeparator/>
      </w:r>
    </w:p>
  </w:footnote>
  <w:footnote w:id="1">
    <w:p w14:paraId="425F6418" w14:textId="2260EA4F" w:rsidR="007E6186" w:rsidRDefault="007E6186">
      <w:pPr>
        <w:pStyle w:val="FootnoteText"/>
      </w:pPr>
      <w:r>
        <w:rPr>
          <w:rStyle w:val="FootnoteReference"/>
        </w:rPr>
        <w:footnoteRef/>
      </w:r>
      <w:r>
        <w:t xml:space="preserve"> Data for Kit Carson County is not maintained through the NEC</w:t>
      </w:r>
      <w:r w:rsidR="00C859D9">
        <w:t>H</w:t>
      </w:r>
      <w:r>
        <w:t>D</w:t>
      </w:r>
      <w:r w:rsidR="00D21967">
        <w:t xml:space="preserve">.  The “Dashboard” for NECHD has </w:t>
      </w:r>
      <w:r w:rsidR="00A65377">
        <w:t>much</w:t>
      </w:r>
      <w:r w:rsidR="00D21967">
        <w:t xml:space="preserve"> more complete information available for comparison</w:t>
      </w:r>
      <w:r w:rsidR="005902EA">
        <w:t xml:space="preserve"> than that which is maintained by the CDPHE</w:t>
      </w:r>
      <w:r w:rsidR="0003772F">
        <w:t xml:space="preserve"> for Kit Carson County</w:t>
      </w:r>
      <w:r w:rsidR="005902EA">
        <w:t xml:space="preserve">.  </w:t>
      </w:r>
    </w:p>
  </w:footnote>
  <w:footnote w:id="2">
    <w:p w14:paraId="6CC46A43" w14:textId="2E020603" w:rsidR="003D508F" w:rsidRDefault="003D508F">
      <w:pPr>
        <w:pStyle w:val="FootnoteText"/>
      </w:pPr>
      <w:r>
        <w:rPr>
          <w:rStyle w:val="FootnoteReference"/>
        </w:rPr>
        <w:footnoteRef/>
      </w:r>
      <w:r>
        <w:t xml:space="preserve"> The Court recognizes that this figure may be the subject of some dispute, as the virus </w:t>
      </w:r>
      <w:r w:rsidR="00D32605">
        <w:t>may not have been the actual cause of death for many of the deaths so reporte</w:t>
      </w:r>
      <w:r w:rsidR="001C3205">
        <w:t xml:space="preserve">d.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8F384" w14:textId="77777777" w:rsidR="00D43FD4" w:rsidRDefault="00834F53">
    <w:pPr>
      <w:pStyle w:val="BodyText"/>
      <w:spacing w:line="14" w:lineRule="auto"/>
      <w:rPr>
        <w:sz w:val="20"/>
      </w:rPr>
    </w:pPr>
    <w:r>
      <w:pict w14:anchorId="4838F38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107.6pt;width:165.2pt;height:29.45pt;z-index:-4792;mso-position-horizontal-relative:page;mso-position-vertical-relative:page" filled="f" stroked="f">
          <v:textbox inset="0,0,0,0">
            <w:txbxContent>
              <w:p w14:paraId="4838F38A" w14:textId="57FD5B0E" w:rsidR="00D43FD4" w:rsidRDefault="00834F53">
                <w:pPr>
                  <w:spacing w:before="10" w:line="247" w:lineRule="auto"/>
                  <w:ind w:left="20" w:right="-16"/>
                  <w:rPr>
                    <w:sz w:val="24"/>
                  </w:rPr>
                </w:pPr>
                <w:r>
                  <w:rPr>
                    <w:sz w:val="24"/>
                  </w:rPr>
                  <w:t>Administrative Order 20-</w:t>
                </w:r>
                <w:r w:rsidR="002A2429">
                  <w:rPr>
                    <w:sz w:val="24"/>
                  </w:rPr>
                  <w:t>H</w:t>
                </w:r>
                <w:r>
                  <w:rPr>
                    <w:sz w:val="24"/>
                  </w:rPr>
                  <w:t xml:space="preserve"> COVID 19:  Update re Jury Trials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FD4"/>
    <w:rsid w:val="00004ABB"/>
    <w:rsid w:val="0003772F"/>
    <w:rsid w:val="000674AF"/>
    <w:rsid w:val="00074F1F"/>
    <w:rsid w:val="00082CCA"/>
    <w:rsid w:val="000A0D37"/>
    <w:rsid w:val="000F5198"/>
    <w:rsid w:val="00104A41"/>
    <w:rsid w:val="00127155"/>
    <w:rsid w:val="00127576"/>
    <w:rsid w:val="00133334"/>
    <w:rsid w:val="0018654E"/>
    <w:rsid w:val="001A7372"/>
    <w:rsid w:val="001C3205"/>
    <w:rsid w:val="001D295F"/>
    <w:rsid w:val="001F175F"/>
    <w:rsid w:val="001F4FC4"/>
    <w:rsid w:val="00204BCF"/>
    <w:rsid w:val="00205C13"/>
    <w:rsid w:val="00230F4D"/>
    <w:rsid w:val="002538FD"/>
    <w:rsid w:val="0025652E"/>
    <w:rsid w:val="00274CDE"/>
    <w:rsid w:val="00292EB3"/>
    <w:rsid w:val="002951E9"/>
    <w:rsid w:val="00295FF2"/>
    <w:rsid w:val="002A2429"/>
    <w:rsid w:val="002A2663"/>
    <w:rsid w:val="002A7DD7"/>
    <w:rsid w:val="002C5B86"/>
    <w:rsid w:val="002C7981"/>
    <w:rsid w:val="00314C39"/>
    <w:rsid w:val="0033456E"/>
    <w:rsid w:val="00366A3F"/>
    <w:rsid w:val="003B79C4"/>
    <w:rsid w:val="003C6135"/>
    <w:rsid w:val="003D3D79"/>
    <w:rsid w:val="003D508F"/>
    <w:rsid w:val="00437C04"/>
    <w:rsid w:val="0046420C"/>
    <w:rsid w:val="0048484C"/>
    <w:rsid w:val="00492414"/>
    <w:rsid w:val="004C26D2"/>
    <w:rsid w:val="0054001D"/>
    <w:rsid w:val="0056086F"/>
    <w:rsid w:val="00564166"/>
    <w:rsid w:val="005902EA"/>
    <w:rsid w:val="005D32C0"/>
    <w:rsid w:val="005E1310"/>
    <w:rsid w:val="005E6FB5"/>
    <w:rsid w:val="006546F5"/>
    <w:rsid w:val="0067708C"/>
    <w:rsid w:val="00697FE4"/>
    <w:rsid w:val="006F2BE9"/>
    <w:rsid w:val="006F5979"/>
    <w:rsid w:val="006F5C31"/>
    <w:rsid w:val="00766C2A"/>
    <w:rsid w:val="007966D3"/>
    <w:rsid w:val="007C7E0B"/>
    <w:rsid w:val="007D7680"/>
    <w:rsid w:val="007E0F65"/>
    <w:rsid w:val="007E6186"/>
    <w:rsid w:val="00834F53"/>
    <w:rsid w:val="00864E50"/>
    <w:rsid w:val="008B797F"/>
    <w:rsid w:val="008C24EF"/>
    <w:rsid w:val="008C2675"/>
    <w:rsid w:val="008F6127"/>
    <w:rsid w:val="00913997"/>
    <w:rsid w:val="00956BC7"/>
    <w:rsid w:val="00970517"/>
    <w:rsid w:val="009C31E8"/>
    <w:rsid w:val="009E7E1F"/>
    <w:rsid w:val="00A0494A"/>
    <w:rsid w:val="00A151F7"/>
    <w:rsid w:val="00A21EC4"/>
    <w:rsid w:val="00A65377"/>
    <w:rsid w:val="00A768B6"/>
    <w:rsid w:val="00A80E28"/>
    <w:rsid w:val="00AC6361"/>
    <w:rsid w:val="00B24785"/>
    <w:rsid w:val="00B26216"/>
    <w:rsid w:val="00B463C0"/>
    <w:rsid w:val="00B57217"/>
    <w:rsid w:val="00B80355"/>
    <w:rsid w:val="00BA165E"/>
    <w:rsid w:val="00BD293B"/>
    <w:rsid w:val="00BD75E1"/>
    <w:rsid w:val="00C214A8"/>
    <w:rsid w:val="00C27096"/>
    <w:rsid w:val="00C539EC"/>
    <w:rsid w:val="00C71E03"/>
    <w:rsid w:val="00C71EC1"/>
    <w:rsid w:val="00C859D9"/>
    <w:rsid w:val="00CA1092"/>
    <w:rsid w:val="00CB0535"/>
    <w:rsid w:val="00CD76D3"/>
    <w:rsid w:val="00CD7AED"/>
    <w:rsid w:val="00CE056C"/>
    <w:rsid w:val="00D21967"/>
    <w:rsid w:val="00D32605"/>
    <w:rsid w:val="00D41397"/>
    <w:rsid w:val="00D43FD4"/>
    <w:rsid w:val="00D570E3"/>
    <w:rsid w:val="00D64E29"/>
    <w:rsid w:val="00D770D2"/>
    <w:rsid w:val="00D90F50"/>
    <w:rsid w:val="00DA2392"/>
    <w:rsid w:val="00DA5A55"/>
    <w:rsid w:val="00DD660A"/>
    <w:rsid w:val="00DE5B4C"/>
    <w:rsid w:val="00DF03D1"/>
    <w:rsid w:val="00DF4E04"/>
    <w:rsid w:val="00E013F3"/>
    <w:rsid w:val="00E254BB"/>
    <w:rsid w:val="00E676CA"/>
    <w:rsid w:val="00E71239"/>
    <w:rsid w:val="00E740F2"/>
    <w:rsid w:val="00E868E4"/>
    <w:rsid w:val="00F32B77"/>
    <w:rsid w:val="00F7504D"/>
    <w:rsid w:val="00FB537B"/>
    <w:rsid w:val="00FD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838F326"/>
  <w15:docId w15:val="{E7E7820A-6EF0-451D-BAEF-2B5C85E1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A2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42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A2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429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50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508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50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53F639AC5D145A07EA54416D5E1C3" ma:contentTypeVersion="7" ma:contentTypeDescription="Create a new document." ma:contentTypeScope="" ma:versionID="6dfaa01945e3c2a645a24fa0554c87cd">
  <xsd:schema xmlns:xsd="http://www.w3.org/2001/XMLSchema" xmlns:xs="http://www.w3.org/2001/XMLSchema" xmlns:p="http://schemas.microsoft.com/office/2006/metadata/properties" xmlns:ns3="e9dbf350-d8a5-4bc0-9fa2-dc1c8eb74721" targetNamespace="http://schemas.microsoft.com/office/2006/metadata/properties" ma:root="true" ma:fieldsID="714c3e5f6367f40e73b9b041efa9283d" ns3:_="">
    <xsd:import namespace="e9dbf350-d8a5-4bc0-9fa2-dc1c8eb747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bf350-d8a5-4bc0-9fa2-dc1c8eb74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171EE-6D6A-4F6B-AB71-9E2862FDF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bf350-d8a5-4bc0-9fa2-dc1c8eb74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6484C7-0587-4810-A326-28C5001AA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2ABCA-0B5A-42CB-B05D-BFDD2C73BE01}">
  <ds:schemaRefs>
    <ds:schemaRef ds:uri="http://schemas.microsoft.com/office/2006/metadata/properties"/>
    <ds:schemaRef ds:uri="e9dbf350-d8a5-4bc0-9fa2-dc1c8eb7472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EDC2BE-A66C-45E7-AEE0-E49DE7A3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PITKIN COUNTY, COLORADO</vt:lpstr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PITKIN COUNTY, COLORADO</dc:title>
  <dc:creator>jimboyd</dc:creator>
  <cp:lastModifiedBy>singer, michael</cp:lastModifiedBy>
  <cp:revision>2</cp:revision>
  <dcterms:created xsi:type="dcterms:W3CDTF">2020-11-24T01:44:00Z</dcterms:created>
  <dcterms:modified xsi:type="dcterms:W3CDTF">2020-11-24T01:44:00Z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2020-11-19T00:00:00Z</vt:filetime>
  </property>
  <property fmtid="{D5CDD505-2E9C-101B-9397-08002B2CF9AE}" pid="5" name="ContentTypeId">
    <vt:lpwstr>0x010100FC253F639AC5D145A07EA54416D5E1C3</vt:lpwstr>
  </property>
</Properties>
</file>