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8" w:type="dxa"/>
        <w:tblInd w:w="-108" w:type="dxa"/>
        <w:tblCellMar>
          <w:top w:w="56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869"/>
        <w:gridCol w:w="3709"/>
      </w:tblGrid>
      <w:tr w:rsidR="00212F67" w:rsidRPr="00212F67" w14:paraId="143F4F64" w14:textId="77777777" w:rsidTr="00DA46DD">
        <w:trPr>
          <w:trHeight w:val="1202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5A0E" w14:textId="77777777" w:rsidR="00212F67" w:rsidRPr="00212F67" w:rsidRDefault="00212F67" w:rsidP="00212F67">
            <w:pPr>
              <w:rPr>
                <w:rFonts w:ascii="Book Antiqua" w:eastAsia="Book Antiqua" w:hAnsi="Book Antiqua" w:cs="Book Antiqua"/>
                <w:color w:val="000000"/>
                <w:sz w:val="24"/>
              </w:rPr>
            </w:pPr>
            <w:r w:rsidRPr="00212F67">
              <w:rPr>
                <w:rFonts w:ascii="Book Antiqua" w:eastAsia="Book Antiqua" w:hAnsi="Book Antiqua" w:cs="Book Antiqua"/>
                <w:color w:val="000000"/>
                <w:sz w:val="24"/>
              </w:rPr>
              <w:t>COMBINED COURTS, Kit Carson, Logan, Morgan, Phillips, Sedgwick, Washington, and Yuma Counties, State of Colorado.</w:t>
            </w:r>
          </w:p>
        </w:tc>
        <w:tc>
          <w:tcPr>
            <w:tcW w:w="3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5B435" w14:textId="77777777" w:rsidR="00212F67" w:rsidRPr="00212F67" w:rsidRDefault="00212F67" w:rsidP="00212F67">
            <w:pPr>
              <w:ind w:left="6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  <w:r w:rsidRPr="00212F67">
              <w:rPr>
                <w:rFonts w:ascii="Book Antiqua" w:eastAsia="Book Antiqua" w:hAnsi="Book Antiqua" w:cs="Book Antiqua"/>
                <w:b/>
                <w:color w:val="000000"/>
                <w:sz w:val="24"/>
              </w:rPr>
              <w:t xml:space="preserve">▲COURT USE ONLY▲ </w:t>
            </w:r>
          </w:p>
        </w:tc>
      </w:tr>
      <w:tr w:rsidR="00212F67" w:rsidRPr="00212F67" w14:paraId="7303C23D" w14:textId="77777777" w:rsidTr="00DA46DD">
        <w:trPr>
          <w:trHeight w:val="1171"/>
        </w:trPr>
        <w:tc>
          <w:tcPr>
            <w:tcW w:w="5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65CD" w14:textId="194F29D5" w:rsidR="00212F67" w:rsidRPr="00212F67" w:rsidRDefault="00212F67" w:rsidP="00212F67">
            <w:pPr>
              <w:ind w:left="2"/>
              <w:jc w:val="center"/>
              <w:rPr>
                <w:rFonts w:ascii="Book Antiqua" w:eastAsia="Book Antiqua" w:hAnsi="Book Antiqua" w:cs="Book Antiqua"/>
                <w:i/>
                <w:iCs/>
                <w:color w:val="000000"/>
                <w:sz w:val="24"/>
              </w:rPr>
            </w:pPr>
            <w:r w:rsidRPr="00212F67">
              <w:rPr>
                <w:rFonts w:ascii="Book Antiqua" w:eastAsia="Book Antiqua" w:hAnsi="Book Antiqua" w:cs="Book Antiqua"/>
                <w:b/>
                <w:color w:val="000000"/>
                <w:sz w:val="24"/>
              </w:rPr>
              <w:t>ADMINISTRATIVE ORDER NO.  202</w:t>
            </w:r>
            <w:r w:rsidR="001C6210">
              <w:rPr>
                <w:rFonts w:ascii="Book Antiqua" w:eastAsia="Book Antiqua" w:hAnsi="Book Antiqua" w:cs="Book Antiqua"/>
                <w:b/>
                <w:color w:val="000000"/>
                <w:sz w:val="24"/>
              </w:rPr>
              <w:t>1</w:t>
            </w:r>
            <w:r w:rsidRPr="00212F67">
              <w:rPr>
                <w:rFonts w:ascii="Book Antiqua" w:eastAsia="Book Antiqua" w:hAnsi="Book Antiqua" w:cs="Book Antiqua"/>
                <w:b/>
                <w:color w:val="000000"/>
                <w:sz w:val="24"/>
              </w:rPr>
              <w:t>-</w:t>
            </w:r>
            <w:r w:rsidR="00360E79">
              <w:rPr>
                <w:rFonts w:ascii="Book Antiqua" w:eastAsia="Book Antiqua" w:hAnsi="Book Antiqua" w:cs="Book Antiqua"/>
                <w:b/>
                <w:color w:val="000000"/>
                <w:sz w:val="24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4556" w14:textId="77777777" w:rsidR="00212F67" w:rsidRPr="00212F67" w:rsidRDefault="00212F67" w:rsidP="00212F67">
            <w:pPr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</w:tc>
      </w:tr>
      <w:tr w:rsidR="00212F67" w:rsidRPr="00212F67" w14:paraId="5C762A0C" w14:textId="77777777" w:rsidTr="00DA46DD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A1BB" w14:textId="77777777" w:rsidR="00212F67" w:rsidRPr="00212F67" w:rsidRDefault="00212F67" w:rsidP="00212F67">
            <w:pPr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81A4" w14:textId="77777777" w:rsidR="00212F67" w:rsidRPr="00212F67" w:rsidRDefault="00212F67" w:rsidP="00212F67">
            <w:pPr>
              <w:rPr>
                <w:rFonts w:ascii="Book Antiqua" w:eastAsia="Book Antiqua" w:hAnsi="Book Antiqua" w:cs="Book Antiqua"/>
                <w:color w:val="000000"/>
                <w:sz w:val="24"/>
              </w:rPr>
            </w:pPr>
            <w:r w:rsidRPr="00212F67">
              <w:rPr>
                <w:rFonts w:ascii="Book Antiqua" w:eastAsia="Book Antiqua" w:hAnsi="Book Antiqua" w:cs="Book Antiqua"/>
                <w:color w:val="000000"/>
                <w:sz w:val="24"/>
              </w:rPr>
              <w:t xml:space="preserve"> </w:t>
            </w:r>
          </w:p>
        </w:tc>
      </w:tr>
      <w:tr w:rsidR="00212F67" w:rsidRPr="00212F67" w14:paraId="5809F018" w14:textId="77777777" w:rsidTr="00DA46DD">
        <w:trPr>
          <w:trHeight w:val="1176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F46A" w14:textId="77777777" w:rsidR="00212F67" w:rsidRPr="00212F67" w:rsidRDefault="00212F67" w:rsidP="00212F67">
            <w:pPr>
              <w:ind w:left="67"/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</w:rPr>
            </w:pPr>
            <w:r w:rsidRPr="00212F67">
              <w:rPr>
                <w:rFonts w:ascii="Book Antiqua" w:eastAsia="Book Antiqua" w:hAnsi="Book Antiqua" w:cs="Book Antiqua"/>
                <w:b/>
                <w:color w:val="000000"/>
                <w:sz w:val="24"/>
              </w:rPr>
              <w:t xml:space="preserve"> </w:t>
            </w:r>
          </w:p>
          <w:p w14:paraId="1D85D2DD" w14:textId="77777777" w:rsidR="00212F67" w:rsidRPr="006A6DC3" w:rsidRDefault="00212F67" w:rsidP="00212F67">
            <w:pPr>
              <w:jc w:val="center"/>
              <w:rPr>
                <w:rFonts w:ascii="Garamond" w:eastAsia="Times New Roman" w:hAnsi="Garamond" w:cs="Arial"/>
                <w:b/>
                <w:smallCaps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8"/>
                <w:szCs w:val="28"/>
              </w:rPr>
              <w:t>13</w:t>
            </w:r>
            <w:r w:rsidRPr="006A6DC3">
              <w:rPr>
                <w:rFonts w:ascii="Garamond" w:eastAsia="Times New Roman" w:hAnsi="Garamond" w:cs="Arial"/>
                <w:b/>
                <w:smallCaps/>
                <w:sz w:val="28"/>
                <w:szCs w:val="28"/>
                <w:vertAlign w:val="superscript"/>
              </w:rPr>
              <w:t>th</w:t>
            </w:r>
            <w:r w:rsidRPr="006A6DC3">
              <w:rPr>
                <w:rFonts w:ascii="Garamond" w:eastAsia="Times New Roman" w:hAnsi="Garamond" w:cs="Arial"/>
                <w:b/>
                <w:smallCaps/>
                <w:sz w:val="28"/>
                <w:szCs w:val="28"/>
              </w:rPr>
              <w:t xml:space="preserve"> Judicial District Combined Court</w:t>
            </w:r>
          </w:p>
          <w:p w14:paraId="49A8491E" w14:textId="763667D4" w:rsidR="00212F67" w:rsidRPr="00212F67" w:rsidRDefault="00212F67" w:rsidP="00387041">
            <w:pPr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  <w:r w:rsidRPr="006A6DC3">
              <w:rPr>
                <w:rFonts w:ascii="Garamond" w:eastAsia="Times New Roman" w:hAnsi="Garamond" w:cs="Arial"/>
                <w:b/>
                <w:smallCaps/>
                <w:sz w:val="28"/>
                <w:szCs w:val="28"/>
              </w:rPr>
              <w:t xml:space="preserve">COVID-19 </w:t>
            </w:r>
            <w:r w:rsidR="00387041">
              <w:rPr>
                <w:rFonts w:ascii="Garamond" w:eastAsia="Times New Roman" w:hAnsi="Garamond" w:cs="Arial"/>
                <w:b/>
                <w:smallCaps/>
                <w:sz w:val="28"/>
                <w:szCs w:val="28"/>
              </w:rPr>
              <w:t xml:space="preserve">Face Covering Order, </w:t>
            </w:r>
            <w:r w:rsidR="00CF3A56">
              <w:rPr>
                <w:rFonts w:ascii="Garamond" w:eastAsia="Times New Roman" w:hAnsi="Garamond" w:cs="Arial"/>
                <w:b/>
                <w:smallCaps/>
                <w:sz w:val="28"/>
                <w:szCs w:val="28"/>
              </w:rPr>
              <w:t>June 1</w:t>
            </w:r>
            <w:r w:rsidR="009D6697">
              <w:rPr>
                <w:rFonts w:ascii="Garamond" w:eastAsia="Times New Roman" w:hAnsi="Garamond" w:cs="Arial"/>
                <w:b/>
                <w:smallCaps/>
                <w:sz w:val="28"/>
                <w:szCs w:val="28"/>
              </w:rPr>
              <w:t>7</w:t>
            </w:r>
            <w:r w:rsidR="00CF3A56">
              <w:rPr>
                <w:rFonts w:ascii="Garamond" w:eastAsia="Times New Roman" w:hAnsi="Garamond" w:cs="Arial"/>
                <w:b/>
                <w:smallCaps/>
                <w:sz w:val="28"/>
                <w:szCs w:val="28"/>
              </w:rPr>
              <w:t>, 2021</w:t>
            </w:r>
          </w:p>
        </w:tc>
      </w:tr>
    </w:tbl>
    <w:p w14:paraId="2E8302E8" w14:textId="77777777" w:rsidR="002B7B6B" w:rsidRDefault="002B7B6B" w:rsidP="006A6DC3">
      <w:p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8"/>
          <w:szCs w:val="28"/>
        </w:rPr>
      </w:pPr>
    </w:p>
    <w:p w14:paraId="124806BB" w14:textId="77777777" w:rsidR="006A6DC3" w:rsidRPr="006A6DC3" w:rsidRDefault="006A6DC3" w:rsidP="006A6DC3">
      <w:pPr>
        <w:spacing w:after="0" w:line="240" w:lineRule="auto"/>
        <w:ind w:left="720"/>
        <w:contextualSpacing/>
        <w:rPr>
          <w:rFonts w:ascii="Garamond" w:eastAsia="Times New Roman" w:hAnsi="Garamond" w:cs="Arial"/>
          <w:smallCaps/>
          <w:sz w:val="28"/>
          <w:szCs w:val="28"/>
        </w:rPr>
      </w:pPr>
    </w:p>
    <w:p w14:paraId="383C4570" w14:textId="59489427" w:rsidR="00A52C1F" w:rsidRDefault="00D20ACC" w:rsidP="006A6DC3">
      <w:pPr>
        <w:ind w:firstLine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Court entered a</w:t>
      </w:r>
      <w:r w:rsidR="0041408E">
        <w:rPr>
          <w:rFonts w:ascii="Book Antiqua" w:hAnsi="Book Antiqua"/>
          <w:sz w:val="24"/>
          <w:szCs w:val="24"/>
        </w:rPr>
        <w:t>n Order on July 19, 2020, mandating face coverings under a variety of circumstances</w:t>
      </w:r>
      <w:r w:rsidR="009C06C0">
        <w:rPr>
          <w:rFonts w:ascii="Book Antiqua" w:hAnsi="Book Antiqua"/>
          <w:sz w:val="24"/>
          <w:szCs w:val="24"/>
        </w:rPr>
        <w:t xml:space="preserve"> and in various locations within </w:t>
      </w:r>
      <w:r w:rsidR="002503F3">
        <w:rPr>
          <w:rFonts w:ascii="Book Antiqua" w:hAnsi="Book Antiqua"/>
          <w:sz w:val="24"/>
          <w:szCs w:val="24"/>
        </w:rPr>
        <w:t>those courthouses in the 13</w:t>
      </w:r>
      <w:r w:rsidR="002503F3" w:rsidRPr="002503F3">
        <w:rPr>
          <w:rFonts w:ascii="Book Antiqua" w:hAnsi="Book Antiqua"/>
          <w:sz w:val="24"/>
          <w:szCs w:val="24"/>
          <w:vertAlign w:val="superscript"/>
        </w:rPr>
        <w:t>th</w:t>
      </w:r>
      <w:r w:rsidR="002503F3">
        <w:rPr>
          <w:rFonts w:ascii="Book Antiqua" w:hAnsi="Book Antiqua"/>
          <w:sz w:val="24"/>
          <w:szCs w:val="24"/>
        </w:rPr>
        <w:t xml:space="preserve"> Judicial District.</w:t>
      </w:r>
      <w:r w:rsidR="00653672">
        <w:rPr>
          <w:rFonts w:ascii="Book Antiqua" w:hAnsi="Book Antiqua"/>
          <w:sz w:val="24"/>
          <w:szCs w:val="24"/>
        </w:rPr>
        <w:t xml:space="preserve">  The Order was amended </w:t>
      </w:r>
      <w:r w:rsidR="00172F1C">
        <w:rPr>
          <w:rFonts w:ascii="Book Antiqua" w:hAnsi="Book Antiqua"/>
          <w:sz w:val="24"/>
          <w:szCs w:val="24"/>
        </w:rPr>
        <w:t>o</w:t>
      </w:r>
      <w:r w:rsidR="00653672">
        <w:rPr>
          <w:rFonts w:ascii="Book Antiqua" w:hAnsi="Book Antiqua"/>
          <w:sz w:val="24"/>
          <w:szCs w:val="24"/>
        </w:rPr>
        <w:t>n March</w:t>
      </w:r>
      <w:r w:rsidR="00172F1C">
        <w:rPr>
          <w:rFonts w:ascii="Book Antiqua" w:hAnsi="Book Antiqua"/>
          <w:sz w:val="24"/>
          <w:szCs w:val="24"/>
        </w:rPr>
        <w:t xml:space="preserve"> 23,</w:t>
      </w:r>
      <w:r w:rsidR="00653672">
        <w:rPr>
          <w:rFonts w:ascii="Book Antiqua" w:hAnsi="Book Antiqua"/>
          <w:sz w:val="24"/>
          <w:szCs w:val="24"/>
        </w:rPr>
        <w:t xml:space="preserve"> 2021.</w:t>
      </w:r>
      <w:r w:rsidR="002503F3">
        <w:rPr>
          <w:rFonts w:ascii="Book Antiqua" w:hAnsi="Book Antiqua"/>
          <w:sz w:val="24"/>
          <w:szCs w:val="24"/>
        </w:rPr>
        <w:t xml:space="preserve">  More </w:t>
      </w:r>
      <w:r w:rsidR="00387041">
        <w:rPr>
          <w:rFonts w:ascii="Book Antiqua" w:hAnsi="Book Antiqua"/>
          <w:sz w:val="24"/>
          <w:szCs w:val="24"/>
        </w:rPr>
        <w:t>recent</w:t>
      </w:r>
      <w:r w:rsidR="002503F3">
        <w:rPr>
          <w:rFonts w:ascii="Book Antiqua" w:hAnsi="Book Antiqua"/>
          <w:sz w:val="24"/>
          <w:szCs w:val="24"/>
        </w:rPr>
        <w:t xml:space="preserve"> developments </w:t>
      </w:r>
      <w:r w:rsidR="00720F49">
        <w:rPr>
          <w:rFonts w:ascii="Book Antiqua" w:hAnsi="Book Antiqua"/>
          <w:sz w:val="24"/>
          <w:szCs w:val="24"/>
        </w:rPr>
        <w:t xml:space="preserve">in public health </w:t>
      </w:r>
      <w:r w:rsidR="00A068A5">
        <w:rPr>
          <w:rFonts w:ascii="Book Antiqua" w:hAnsi="Book Antiqua"/>
          <w:sz w:val="24"/>
          <w:szCs w:val="24"/>
        </w:rPr>
        <w:t xml:space="preserve">relative to COVID-19 </w:t>
      </w:r>
      <w:r w:rsidR="00720F49">
        <w:rPr>
          <w:rFonts w:ascii="Book Antiqua" w:hAnsi="Book Antiqua"/>
          <w:sz w:val="24"/>
          <w:szCs w:val="24"/>
        </w:rPr>
        <w:t xml:space="preserve">permit </w:t>
      </w:r>
      <w:r w:rsidR="007D0E07">
        <w:rPr>
          <w:rFonts w:ascii="Book Antiqua" w:hAnsi="Book Antiqua"/>
          <w:sz w:val="24"/>
          <w:szCs w:val="24"/>
        </w:rPr>
        <w:t>that earlier Order to be modified.</w:t>
      </w:r>
      <w:r w:rsidR="00B86B89">
        <w:rPr>
          <w:rStyle w:val="FootnoteReference"/>
          <w:rFonts w:ascii="Book Antiqua" w:hAnsi="Book Antiqua"/>
          <w:sz w:val="24"/>
          <w:szCs w:val="24"/>
        </w:rPr>
        <w:footnoteReference w:id="1"/>
      </w:r>
      <w:r w:rsidR="007D0E07">
        <w:rPr>
          <w:rFonts w:ascii="Book Antiqua" w:hAnsi="Book Antiqua"/>
          <w:sz w:val="24"/>
          <w:szCs w:val="24"/>
        </w:rPr>
        <w:t xml:space="preserve">  </w:t>
      </w:r>
      <w:r w:rsidR="008404B2">
        <w:rPr>
          <w:rFonts w:ascii="Book Antiqua" w:hAnsi="Book Antiqua"/>
          <w:sz w:val="24"/>
          <w:szCs w:val="24"/>
        </w:rPr>
        <w:t xml:space="preserve">  </w:t>
      </w:r>
    </w:p>
    <w:p w14:paraId="196CC7ED" w14:textId="2B5265EE" w:rsidR="00A52C1F" w:rsidRDefault="00D56558" w:rsidP="006A6DC3">
      <w:pPr>
        <w:ind w:firstLine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Accordingly, in</w:t>
      </w:r>
      <w:r w:rsidR="00A52C1F">
        <w:rPr>
          <w:rFonts w:ascii="Book Antiqua" w:hAnsi="Book Antiqua"/>
          <w:sz w:val="24"/>
          <w:szCs w:val="24"/>
        </w:rPr>
        <w:t xml:space="preserve"> a</w:t>
      </w:r>
      <w:r>
        <w:rPr>
          <w:rFonts w:ascii="Book Antiqua" w:hAnsi="Book Antiqua"/>
          <w:sz w:val="24"/>
          <w:szCs w:val="24"/>
        </w:rPr>
        <w:t xml:space="preserve"> continuing</w:t>
      </w:r>
      <w:r w:rsidR="00A52C1F">
        <w:rPr>
          <w:rFonts w:ascii="Book Antiqua" w:hAnsi="Book Antiqua"/>
          <w:sz w:val="24"/>
          <w:szCs w:val="24"/>
        </w:rPr>
        <w:t xml:space="preserve"> effort to maximize protection of our staff and the public, </w:t>
      </w:r>
      <w:r>
        <w:rPr>
          <w:rFonts w:ascii="Book Antiqua" w:hAnsi="Book Antiqua"/>
          <w:sz w:val="24"/>
          <w:szCs w:val="24"/>
        </w:rPr>
        <w:t xml:space="preserve">balanced with </w:t>
      </w:r>
      <w:r w:rsidR="00D71EEB">
        <w:rPr>
          <w:rFonts w:ascii="Book Antiqua" w:hAnsi="Book Antiqua"/>
          <w:sz w:val="24"/>
          <w:szCs w:val="24"/>
        </w:rPr>
        <w:t xml:space="preserve">the need to recognize the </w:t>
      </w:r>
      <w:r w:rsidR="00EA7173">
        <w:rPr>
          <w:rFonts w:ascii="Book Antiqua" w:hAnsi="Book Antiqua"/>
          <w:sz w:val="24"/>
          <w:szCs w:val="24"/>
        </w:rPr>
        <w:t xml:space="preserve">generally recognized </w:t>
      </w:r>
      <w:r w:rsidR="00D71EEB">
        <w:rPr>
          <w:rFonts w:ascii="Book Antiqua" w:hAnsi="Book Antiqua"/>
          <w:sz w:val="24"/>
          <w:szCs w:val="24"/>
        </w:rPr>
        <w:t xml:space="preserve">liberty interests of citizens in the </w:t>
      </w:r>
      <w:r w:rsidR="00EC15F8">
        <w:rPr>
          <w:rFonts w:ascii="Book Antiqua" w:hAnsi="Book Antiqua"/>
          <w:sz w:val="24"/>
          <w:szCs w:val="24"/>
        </w:rPr>
        <w:t xml:space="preserve">control over their own </w:t>
      </w:r>
      <w:r w:rsidR="00FD352D">
        <w:rPr>
          <w:rFonts w:ascii="Book Antiqua" w:hAnsi="Book Antiqua"/>
          <w:sz w:val="24"/>
          <w:szCs w:val="24"/>
        </w:rPr>
        <w:t>bodily integrity</w:t>
      </w:r>
      <w:r w:rsidR="00EC15F8">
        <w:rPr>
          <w:rFonts w:ascii="Book Antiqua" w:hAnsi="Book Antiqua"/>
          <w:sz w:val="24"/>
          <w:szCs w:val="24"/>
        </w:rPr>
        <w:t>,</w:t>
      </w:r>
      <w:r w:rsidR="005C6631">
        <w:rPr>
          <w:rStyle w:val="FootnoteReference"/>
          <w:rFonts w:ascii="Book Antiqua" w:hAnsi="Book Antiqua"/>
          <w:sz w:val="24"/>
          <w:szCs w:val="24"/>
        </w:rPr>
        <w:footnoteReference w:id="2"/>
      </w:r>
      <w:r w:rsidR="00EC15F8">
        <w:rPr>
          <w:rFonts w:ascii="Book Antiqua" w:hAnsi="Book Antiqua"/>
          <w:sz w:val="24"/>
          <w:szCs w:val="24"/>
        </w:rPr>
        <w:t xml:space="preserve"> </w:t>
      </w:r>
      <w:r w:rsidR="00796C0A">
        <w:rPr>
          <w:rFonts w:ascii="Book Antiqua" w:hAnsi="Book Antiqua"/>
          <w:sz w:val="24"/>
          <w:szCs w:val="24"/>
        </w:rPr>
        <w:t xml:space="preserve">and litigants’ rights to fair trials, </w:t>
      </w:r>
      <w:bookmarkStart w:id="0" w:name="_GoBack"/>
      <w:bookmarkEnd w:id="0"/>
      <w:r w:rsidR="00A52C1F">
        <w:rPr>
          <w:rFonts w:ascii="Book Antiqua" w:hAnsi="Book Antiqua"/>
          <w:sz w:val="24"/>
          <w:szCs w:val="24"/>
        </w:rPr>
        <w:t xml:space="preserve">I hereby Find, Order and Direct as follows:  </w:t>
      </w:r>
      <w:r w:rsidR="00A1412F">
        <w:rPr>
          <w:rFonts w:ascii="Book Antiqua" w:hAnsi="Book Antiqua"/>
          <w:sz w:val="24"/>
          <w:szCs w:val="24"/>
        </w:rPr>
        <w:t xml:space="preserve"> </w:t>
      </w:r>
    </w:p>
    <w:p w14:paraId="30E50F0F" w14:textId="2EFFD0EE" w:rsidR="00A52C1F" w:rsidRDefault="00C079D9" w:rsidP="00A52C1F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P</w:t>
      </w:r>
      <w:r w:rsidR="00A52C1F">
        <w:rPr>
          <w:rFonts w:ascii="Book Antiqua" w:hAnsi="Book Antiqua"/>
          <w:sz w:val="24"/>
          <w:szCs w:val="24"/>
        </w:rPr>
        <w:t xml:space="preserve">ublic hallways, elevators, courtrooms and hearing rooms </w:t>
      </w:r>
      <w:r w:rsidR="00936EC9">
        <w:rPr>
          <w:rFonts w:ascii="Book Antiqua" w:hAnsi="Book Antiqua"/>
          <w:sz w:val="24"/>
          <w:szCs w:val="24"/>
        </w:rPr>
        <w:t xml:space="preserve">have previously been </w:t>
      </w:r>
      <w:r>
        <w:rPr>
          <w:rFonts w:ascii="Book Antiqua" w:hAnsi="Book Antiqua"/>
          <w:sz w:val="24"/>
          <w:szCs w:val="24"/>
        </w:rPr>
        <w:t xml:space="preserve">determined to be </w:t>
      </w:r>
      <w:r w:rsidR="00A52C1F">
        <w:rPr>
          <w:rFonts w:ascii="Book Antiqua" w:hAnsi="Book Antiqua"/>
          <w:sz w:val="24"/>
          <w:szCs w:val="24"/>
        </w:rPr>
        <w:t xml:space="preserve">Public Indoor Spaces.  </w:t>
      </w:r>
      <w:r w:rsidR="00936EC9">
        <w:rPr>
          <w:rFonts w:ascii="Book Antiqua" w:hAnsi="Book Antiqua"/>
          <w:sz w:val="24"/>
          <w:szCs w:val="24"/>
        </w:rPr>
        <w:t>A</w:t>
      </w:r>
      <w:r w:rsidR="00A52C1F">
        <w:rPr>
          <w:rFonts w:ascii="Book Antiqua" w:hAnsi="Book Antiqua"/>
          <w:sz w:val="24"/>
          <w:szCs w:val="24"/>
        </w:rPr>
        <w:t xml:space="preserve">ll individuals entering and moving through those areas </w:t>
      </w:r>
      <w:r w:rsidR="00A20461">
        <w:rPr>
          <w:rFonts w:ascii="Book Antiqua" w:hAnsi="Book Antiqua"/>
          <w:sz w:val="24"/>
          <w:szCs w:val="24"/>
        </w:rPr>
        <w:t xml:space="preserve">are </w:t>
      </w:r>
      <w:r w:rsidR="00B71527">
        <w:rPr>
          <w:rFonts w:ascii="Book Antiqua" w:hAnsi="Book Antiqua"/>
          <w:sz w:val="24"/>
          <w:szCs w:val="24"/>
        </w:rPr>
        <w:t>allowed</w:t>
      </w:r>
      <w:r w:rsidR="00A20461">
        <w:rPr>
          <w:rFonts w:ascii="Book Antiqua" w:hAnsi="Book Antiqua"/>
          <w:sz w:val="24"/>
          <w:szCs w:val="24"/>
        </w:rPr>
        <w:t>, but not required to</w:t>
      </w:r>
      <w:r w:rsidR="00A52C1F">
        <w:rPr>
          <w:rFonts w:ascii="Book Antiqua" w:hAnsi="Book Antiqua"/>
          <w:sz w:val="24"/>
          <w:szCs w:val="24"/>
        </w:rPr>
        <w:t xml:space="preserve"> wear masks covering their nose and mouth.  </w:t>
      </w:r>
    </w:p>
    <w:p w14:paraId="16CA7703" w14:textId="58B7224C" w:rsidR="00FC0668" w:rsidRDefault="00A52C1F" w:rsidP="00A52C1F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Each judicial officer</w:t>
      </w:r>
      <w:r w:rsidR="006A589F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employee</w:t>
      </w:r>
      <w:r w:rsidR="006A589F">
        <w:rPr>
          <w:rFonts w:ascii="Book Antiqua" w:hAnsi="Book Antiqua"/>
          <w:sz w:val="24"/>
          <w:szCs w:val="24"/>
        </w:rPr>
        <w:t xml:space="preserve"> or contract employee</w:t>
      </w:r>
      <w:r>
        <w:rPr>
          <w:rFonts w:ascii="Book Antiqua" w:hAnsi="Book Antiqua"/>
          <w:sz w:val="24"/>
          <w:szCs w:val="24"/>
        </w:rPr>
        <w:t xml:space="preserve"> of the 13</w:t>
      </w:r>
      <w:r w:rsidRPr="00A52C1F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Judicial District is empowered to inform members of the public of this Order and</w:t>
      </w:r>
      <w:r w:rsidR="00476F8D">
        <w:rPr>
          <w:rFonts w:ascii="Book Antiqua" w:hAnsi="Book Antiqua"/>
          <w:sz w:val="24"/>
          <w:szCs w:val="24"/>
        </w:rPr>
        <w:t>, for their own protection,</w:t>
      </w:r>
      <w:r>
        <w:rPr>
          <w:rFonts w:ascii="Book Antiqua" w:hAnsi="Book Antiqua"/>
          <w:sz w:val="24"/>
          <w:szCs w:val="24"/>
        </w:rPr>
        <w:t xml:space="preserve"> </w:t>
      </w:r>
      <w:r w:rsidR="00412A3E">
        <w:rPr>
          <w:rFonts w:ascii="Book Antiqua" w:hAnsi="Book Antiqua"/>
          <w:sz w:val="24"/>
          <w:szCs w:val="24"/>
        </w:rPr>
        <w:t>may suggest</w:t>
      </w:r>
      <w:r>
        <w:rPr>
          <w:rFonts w:ascii="Book Antiqua" w:hAnsi="Book Antiqua"/>
          <w:sz w:val="24"/>
          <w:szCs w:val="24"/>
        </w:rPr>
        <w:t xml:space="preserve"> </w:t>
      </w:r>
      <w:r w:rsidR="00476F8D">
        <w:rPr>
          <w:rFonts w:ascii="Book Antiqua" w:hAnsi="Book Antiqua"/>
          <w:sz w:val="24"/>
          <w:szCs w:val="24"/>
        </w:rPr>
        <w:t xml:space="preserve">to members of the public </w:t>
      </w:r>
      <w:r>
        <w:rPr>
          <w:rFonts w:ascii="Book Antiqua" w:hAnsi="Book Antiqua"/>
          <w:sz w:val="24"/>
          <w:szCs w:val="24"/>
        </w:rPr>
        <w:t xml:space="preserve">that they wear masks in the relevant Public Indoor Spaces, unless exempt.  </w:t>
      </w:r>
    </w:p>
    <w:p w14:paraId="7BA9BE5E" w14:textId="62431C2F" w:rsidR="00A52C1F" w:rsidRDefault="008816A3" w:rsidP="00A52C1F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Nevertheless, a person </w:t>
      </w:r>
      <w:r w:rsidR="008C3446">
        <w:rPr>
          <w:rFonts w:ascii="Book Antiqua" w:hAnsi="Book Antiqua"/>
          <w:sz w:val="24"/>
          <w:szCs w:val="24"/>
        </w:rPr>
        <w:t xml:space="preserve">who </w:t>
      </w:r>
      <w:r>
        <w:rPr>
          <w:rFonts w:ascii="Book Antiqua" w:hAnsi="Book Antiqua"/>
          <w:sz w:val="24"/>
          <w:szCs w:val="24"/>
        </w:rPr>
        <w:t>appears to have active symptoms of cold, flu, COVID-19, or like respiratory disease,</w:t>
      </w:r>
      <w:r w:rsidR="00FC0668">
        <w:rPr>
          <w:rFonts w:ascii="Book Antiqua" w:hAnsi="Book Antiqua"/>
          <w:sz w:val="24"/>
          <w:szCs w:val="24"/>
        </w:rPr>
        <w:t xml:space="preserve"> may either be mandated to wear a face covering (unless medically exempt), or asked to leave the premises until they have </w:t>
      </w:r>
      <w:r w:rsidR="00A83486">
        <w:rPr>
          <w:rFonts w:ascii="Book Antiqua" w:hAnsi="Book Antiqua"/>
          <w:sz w:val="24"/>
          <w:szCs w:val="24"/>
        </w:rPr>
        <w:t>recovered</w:t>
      </w:r>
      <w:r w:rsidR="004966CD">
        <w:rPr>
          <w:rFonts w:ascii="Book Antiqua" w:hAnsi="Book Antiqua"/>
          <w:sz w:val="24"/>
          <w:szCs w:val="24"/>
        </w:rPr>
        <w:t xml:space="preserve"> or</w:t>
      </w:r>
      <w:r w:rsidR="00FA6644">
        <w:rPr>
          <w:rFonts w:ascii="Book Antiqua" w:hAnsi="Book Antiqua"/>
          <w:sz w:val="24"/>
          <w:szCs w:val="24"/>
        </w:rPr>
        <w:t>, if applicable,</w:t>
      </w:r>
      <w:r w:rsidR="004966CD">
        <w:rPr>
          <w:rFonts w:ascii="Book Antiqua" w:hAnsi="Book Antiqua"/>
          <w:sz w:val="24"/>
          <w:szCs w:val="24"/>
        </w:rPr>
        <w:t xml:space="preserve"> are no longer subject to isolation </w:t>
      </w:r>
      <w:r w:rsidR="001D242D">
        <w:rPr>
          <w:rFonts w:ascii="Book Antiqua" w:hAnsi="Book Antiqua"/>
          <w:sz w:val="24"/>
          <w:szCs w:val="24"/>
        </w:rPr>
        <w:t xml:space="preserve">or quarantine </w:t>
      </w:r>
      <w:r w:rsidR="004966CD">
        <w:rPr>
          <w:rFonts w:ascii="Book Antiqua" w:hAnsi="Book Antiqua"/>
          <w:sz w:val="24"/>
          <w:szCs w:val="24"/>
        </w:rPr>
        <w:t>pursuant to CDHPE guidelines</w:t>
      </w:r>
      <w:r w:rsidR="00A83486">
        <w:rPr>
          <w:rFonts w:ascii="Book Antiqua" w:hAnsi="Book Antiqua"/>
          <w:sz w:val="24"/>
          <w:szCs w:val="24"/>
        </w:rPr>
        <w:t xml:space="preserve">.  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20187F6B" w14:textId="495C2546" w:rsidR="006A589F" w:rsidRDefault="00A52C1F" w:rsidP="00A52C1F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Where plexiglass</w:t>
      </w:r>
      <w:r w:rsidR="006005A3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46232D">
        <w:rPr>
          <w:rFonts w:ascii="Book Antiqua" w:hAnsi="Book Antiqua"/>
          <w:sz w:val="24"/>
          <w:szCs w:val="24"/>
        </w:rPr>
        <w:t xml:space="preserve">glass partitions, </w:t>
      </w:r>
      <w:r>
        <w:rPr>
          <w:rFonts w:ascii="Book Antiqua" w:hAnsi="Book Antiqua"/>
          <w:sz w:val="24"/>
          <w:szCs w:val="24"/>
        </w:rPr>
        <w:t xml:space="preserve">or other means are present </w:t>
      </w:r>
      <w:r w:rsidR="006A589F">
        <w:rPr>
          <w:rFonts w:ascii="Book Antiqua" w:hAnsi="Book Antiqua"/>
          <w:sz w:val="24"/>
          <w:szCs w:val="24"/>
        </w:rPr>
        <w:t xml:space="preserve">to </w:t>
      </w:r>
      <w:r w:rsidR="003B7E01">
        <w:rPr>
          <w:rFonts w:ascii="Book Antiqua" w:hAnsi="Book Antiqua"/>
          <w:sz w:val="24"/>
          <w:szCs w:val="24"/>
        </w:rPr>
        <w:t xml:space="preserve">reduce the likelihood of </w:t>
      </w:r>
      <w:r w:rsidR="006A589F">
        <w:rPr>
          <w:rFonts w:ascii="Book Antiqua" w:hAnsi="Book Antiqua"/>
          <w:sz w:val="24"/>
          <w:szCs w:val="24"/>
        </w:rPr>
        <w:t xml:space="preserve">potential transmission of the virus, judicial officers or employees </w:t>
      </w:r>
      <w:r w:rsidR="006005A3">
        <w:rPr>
          <w:rFonts w:ascii="Book Antiqua" w:hAnsi="Book Antiqua"/>
          <w:sz w:val="24"/>
          <w:szCs w:val="24"/>
        </w:rPr>
        <w:t xml:space="preserve">working within such partitions </w:t>
      </w:r>
      <w:r w:rsidR="006A589F">
        <w:rPr>
          <w:rFonts w:ascii="Book Antiqua" w:hAnsi="Book Antiqua"/>
          <w:sz w:val="24"/>
          <w:szCs w:val="24"/>
        </w:rPr>
        <w:t xml:space="preserve">need not wear a mask, unless directed to do so by a presiding judge.  </w:t>
      </w:r>
    </w:p>
    <w:p w14:paraId="7C033B5F" w14:textId="6A5D6379" w:rsidR="00D0166E" w:rsidRDefault="006A589F" w:rsidP="006A589F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</w:t>
      </w:r>
      <w:r w:rsidR="00AE1E5D">
        <w:rPr>
          <w:rFonts w:ascii="Book Antiqua" w:hAnsi="Book Antiqua"/>
          <w:sz w:val="24"/>
          <w:szCs w:val="24"/>
        </w:rPr>
        <w:t xml:space="preserve">have determined previously </w:t>
      </w:r>
      <w:r w:rsidR="001D6207">
        <w:rPr>
          <w:rFonts w:ascii="Book Antiqua" w:hAnsi="Book Antiqua"/>
          <w:sz w:val="24"/>
          <w:szCs w:val="24"/>
        </w:rPr>
        <w:t xml:space="preserve">by means of the Order dated July 21, 2020 </w:t>
      </w:r>
      <w:r>
        <w:rPr>
          <w:rFonts w:ascii="Book Antiqua" w:hAnsi="Book Antiqua"/>
          <w:sz w:val="24"/>
          <w:szCs w:val="24"/>
        </w:rPr>
        <w:t>that office areas</w:t>
      </w:r>
      <w:r w:rsidR="00B37A2D">
        <w:rPr>
          <w:rFonts w:ascii="Book Antiqua" w:hAnsi="Book Antiqua"/>
          <w:sz w:val="24"/>
          <w:szCs w:val="24"/>
        </w:rPr>
        <w:t xml:space="preserve">, stairways, </w:t>
      </w:r>
      <w:r w:rsidR="00976A72">
        <w:rPr>
          <w:rFonts w:ascii="Book Antiqua" w:hAnsi="Book Antiqua"/>
          <w:sz w:val="24"/>
          <w:szCs w:val="24"/>
        </w:rPr>
        <w:t xml:space="preserve">interior </w:t>
      </w:r>
      <w:r w:rsidR="00B37A2D">
        <w:rPr>
          <w:rFonts w:ascii="Book Antiqua" w:hAnsi="Book Antiqua"/>
          <w:sz w:val="24"/>
          <w:szCs w:val="24"/>
        </w:rPr>
        <w:t xml:space="preserve">hallways, chambers, storage rooms, “break rooms,” copy rooms, and meeting rooms </w:t>
      </w:r>
      <w:r>
        <w:rPr>
          <w:rFonts w:ascii="Book Antiqua" w:hAnsi="Book Antiqua"/>
          <w:sz w:val="24"/>
          <w:szCs w:val="24"/>
        </w:rPr>
        <w:t xml:space="preserve">where judicial officers, employees or contract employees are </w:t>
      </w:r>
      <w:r w:rsidR="00B37A2D">
        <w:rPr>
          <w:rFonts w:ascii="Book Antiqua" w:hAnsi="Book Antiqua"/>
          <w:sz w:val="24"/>
          <w:szCs w:val="24"/>
        </w:rPr>
        <w:t xml:space="preserve">regularly </w:t>
      </w:r>
      <w:r>
        <w:rPr>
          <w:rFonts w:ascii="Book Antiqua" w:hAnsi="Book Antiqua"/>
          <w:sz w:val="24"/>
          <w:szCs w:val="24"/>
        </w:rPr>
        <w:t xml:space="preserve">present for the performance of their regular duties are NOT Public Indoor Spaces.  In such areas, judicial officers, employees or contract employees are </w:t>
      </w:r>
      <w:r w:rsidR="009F2F39">
        <w:rPr>
          <w:rFonts w:ascii="Book Antiqua" w:hAnsi="Book Antiqua"/>
          <w:sz w:val="24"/>
          <w:szCs w:val="24"/>
        </w:rPr>
        <w:t xml:space="preserve">encouraged </w:t>
      </w:r>
      <w:r>
        <w:rPr>
          <w:rFonts w:ascii="Book Antiqua" w:hAnsi="Book Antiqua"/>
          <w:sz w:val="24"/>
          <w:szCs w:val="24"/>
        </w:rPr>
        <w:t xml:space="preserve">to </w:t>
      </w:r>
      <w:r w:rsidR="00E45888">
        <w:rPr>
          <w:rFonts w:ascii="Book Antiqua" w:hAnsi="Book Antiqua"/>
          <w:sz w:val="24"/>
          <w:szCs w:val="24"/>
        </w:rPr>
        <w:t xml:space="preserve">wear face coverings </w:t>
      </w:r>
      <w:r>
        <w:rPr>
          <w:rFonts w:ascii="Book Antiqua" w:hAnsi="Book Antiqua"/>
          <w:sz w:val="24"/>
          <w:szCs w:val="24"/>
        </w:rPr>
        <w:t>when other staff are present and social distancing is not possible.</w:t>
      </w:r>
      <w:r w:rsidR="00CA7752">
        <w:rPr>
          <w:rFonts w:ascii="Book Antiqua" w:hAnsi="Book Antiqua"/>
          <w:sz w:val="24"/>
          <w:szCs w:val="24"/>
        </w:rPr>
        <w:t xml:space="preserve">  This will also include jury deliberation rooms.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2B14AA9B" w14:textId="51450BCC" w:rsidR="006A589F" w:rsidRDefault="00D0166E" w:rsidP="006A589F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 persons are encouraged to maintain “social distancing” of </w:t>
      </w:r>
      <w:r w:rsidR="0058660E">
        <w:rPr>
          <w:rFonts w:ascii="Book Antiqua" w:hAnsi="Book Antiqua"/>
          <w:sz w:val="24"/>
          <w:szCs w:val="24"/>
        </w:rPr>
        <w:t xml:space="preserve">three feet or more for the comfort of others within our courthouses.  </w:t>
      </w:r>
      <w:r w:rsidR="006A589F">
        <w:rPr>
          <w:rFonts w:ascii="Book Antiqua" w:hAnsi="Book Antiqua"/>
          <w:sz w:val="24"/>
          <w:szCs w:val="24"/>
        </w:rPr>
        <w:t xml:space="preserve"> </w:t>
      </w:r>
    </w:p>
    <w:p w14:paraId="35F0A1DA" w14:textId="012E0A88" w:rsidR="006A6DC3" w:rsidRDefault="00B37A2D" w:rsidP="00B37A2D">
      <w:pPr>
        <w:ind w:firstLine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Nothing in this Order modifies prior Chief Judge Orders in terms of operations, except as this Order is inconsistent with those prior Orders; in such case, this Order governs.</w:t>
      </w:r>
    </w:p>
    <w:p w14:paraId="5E56A367" w14:textId="5CA02C69" w:rsidR="00B37A2D" w:rsidRDefault="00B37A2D" w:rsidP="00B37A2D">
      <w:pPr>
        <w:ind w:firstLine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This Order </w:t>
      </w:r>
      <w:r w:rsidR="00653672">
        <w:rPr>
          <w:rFonts w:ascii="Book Antiqua" w:hAnsi="Book Antiqua"/>
          <w:sz w:val="24"/>
          <w:szCs w:val="24"/>
        </w:rPr>
        <w:t xml:space="preserve">remains in effect until </w:t>
      </w:r>
      <w:r w:rsidR="00455F6E">
        <w:rPr>
          <w:rFonts w:ascii="Book Antiqua" w:hAnsi="Book Antiqua"/>
          <w:sz w:val="24"/>
          <w:szCs w:val="24"/>
        </w:rPr>
        <w:t xml:space="preserve">modified or amended </w:t>
      </w:r>
      <w:r>
        <w:rPr>
          <w:rFonts w:ascii="Book Antiqua" w:hAnsi="Book Antiqua"/>
          <w:sz w:val="24"/>
          <w:szCs w:val="24"/>
        </w:rPr>
        <w:t xml:space="preserve">from time-to-time.  </w:t>
      </w:r>
    </w:p>
    <w:p w14:paraId="67452ECB" w14:textId="1CB9DD5C" w:rsidR="00A01188" w:rsidRDefault="00A01188" w:rsidP="00EA43C1">
      <w:pPr>
        <w:rPr>
          <w:rFonts w:ascii="Book Antiqua" w:hAnsi="Book Antiqua"/>
          <w:sz w:val="24"/>
          <w:szCs w:val="24"/>
        </w:rPr>
      </w:pPr>
    </w:p>
    <w:p w14:paraId="216DD6FC" w14:textId="61AF3190" w:rsidR="00A01188" w:rsidRDefault="000A60D7" w:rsidP="00EA43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  <w:r w:rsidR="00A01188">
        <w:rPr>
          <w:rFonts w:ascii="Book Antiqua" w:hAnsi="Book Antiqua"/>
          <w:sz w:val="24"/>
          <w:szCs w:val="24"/>
        </w:rPr>
        <w:lastRenderedPageBreak/>
        <w:t xml:space="preserve">IT IS SO ORDERED, effective </w:t>
      </w:r>
      <w:r w:rsidR="00455F6E">
        <w:rPr>
          <w:rFonts w:ascii="Book Antiqua" w:hAnsi="Book Antiqua"/>
          <w:sz w:val="24"/>
          <w:szCs w:val="24"/>
        </w:rPr>
        <w:t>June 1</w:t>
      </w:r>
      <w:r w:rsidR="00816AB4">
        <w:rPr>
          <w:rFonts w:ascii="Book Antiqua" w:hAnsi="Book Antiqua"/>
          <w:sz w:val="24"/>
          <w:szCs w:val="24"/>
        </w:rPr>
        <w:t>9</w:t>
      </w:r>
      <w:r w:rsidR="00455F6E">
        <w:rPr>
          <w:rFonts w:ascii="Book Antiqua" w:hAnsi="Book Antiqua"/>
          <w:sz w:val="24"/>
          <w:szCs w:val="24"/>
        </w:rPr>
        <w:t>, 2021</w:t>
      </w:r>
      <w:r w:rsidR="00EA1FF2">
        <w:rPr>
          <w:rFonts w:ascii="Book Antiqua" w:hAnsi="Book Antiqua"/>
          <w:sz w:val="24"/>
          <w:szCs w:val="24"/>
        </w:rPr>
        <w:t>.</w:t>
      </w:r>
    </w:p>
    <w:p w14:paraId="234A43BA" w14:textId="59EFA202" w:rsidR="00EA1FF2" w:rsidRDefault="006037BC" w:rsidP="00EA43C1">
      <w:pPr>
        <w:rPr>
          <w:rFonts w:ascii="Book Antiqua" w:hAnsi="Book Antiqua"/>
          <w:sz w:val="24"/>
          <w:szCs w:val="24"/>
        </w:rPr>
      </w:pPr>
      <w:bookmarkStart w:id="1" w:name="_Hlk9495186"/>
      <w:r w:rsidRPr="007928E6">
        <w:rPr>
          <w:noProof/>
          <w:color w:val="0070C0"/>
          <w:u w:val="single"/>
        </w:rPr>
        <w:drawing>
          <wp:inline distT="0" distB="0" distL="0" distR="0" wp14:anchorId="456766C5" wp14:editId="2ED0D875">
            <wp:extent cx="1417320" cy="421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1640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Book Antiqua" w:hAnsi="Book Antiqua"/>
          <w:sz w:val="24"/>
          <w:szCs w:val="24"/>
        </w:rPr>
        <w:t xml:space="preserve"> </w:t>
      </w:r>
    </w:p>
    <w:p w14:paraId="10E46E33" w14:textId="592704FC" w:rsidR="006037BC" w:rsidRDefault="006037BC" w:rsidP="00EA43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Chief Judge</w:t>
      </w:r>
    </w:p>
    <w:p w14:paraId="48F724B8" w14:textId="193A2FCB" w:rsidR="008A5F7E" w:rsidRDefault="00455F6E" w:rsidP="00EA43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June 1</w:t>
      </w:r>
      <w:r w:rsidR="009F79CD">
        <w:rPr>
          <w:rFonts w:ascii="Book Antiqua" w:hAnsi="Book Antiqua"/>
          <w:sz w:val="24"/>
          <w:szCs w:val="24"/>
        </w:rPr>
        <w:t>7</w:t>
      </w:r>
      <w:r w:rsidR="00B37A2D">
        <w:rPr>
          <w:rFonts w:ascii="Book Antiqua" w:hAnsi="Book Antiqua"/>
          <w:sz w:val="24"/>
          <w:szCs w:val="24"/>
        </w:rPr>
        <w:t xml:space="preserve">, </w:t>
      </w:r>
      <w:r w:rsidR="001C649A">
        <w:rPr>
          <w:rFonts w:ascii="Book Antiqua" w:hAnsi="Book Antiqua"/>
          <w:sz w:val="24"/>
          <w:szCs w:val="24"/>
        </w:rPr>
        <w:t>202</w:t>
      </w:r>
      <w:r w:rsidR="005F0982">
        <w:rPr>
          <w:rFonts w:ascii="Book Antiqua" w:hAnsi="Book Antiqua"/>
          <w:sz w:val="24"/>
          <w:szCs w:val="24"/>
        </w:rPr>
        <w:t>1</w:t>
      </w:r>
      <w:r w:rsidR="008A5F7E">
        <w:rPr>
          <w:rFonts w:ascii="Book Antiqua" w:hAnsi="Book Antiqua"/>
          <w:sz w:val="24"/>
          <w:szCs w:val="24"/>
        </w:rPr>
        <w:t>, at</w:t>
      </w:r>
      <w:r w:rsidR="005E2D58">
        <w:rPr>
          <w:rFonts w:ascii="Book Antiqua" w:hAnsi="Book Antiqua"/>
          <w:sz w:val="24"/>
          <w:szCs w:val="24"/>
        </w:rPr>
        <w:t xml:space="preserve"> </w:t>
      </w:r>
      <w:r w:rsidR="009F79CD">
        <w:rPr>
          <w:rFonts w:ascii="Book Antiqua" w:hAnsi="Book Antiqua"/>
          <w:sz w:val="24"/>
          <w:szCs w:val="24"/>
        </w:rPr>
        <w:t>0</w:t>
      </w:r>
      <w:r w:rsidR="000A60D7">
        <w:rPr>
          <w:rFonts w:ascii="Book Antiqua" w:hAnsi="Book Antiqua"/>
          <w:sz w:val="24"/>
          <w:szCs w:val="24"/>
        </w:rPr>
        <w:t>9</w:t>
      </w:r>
      <w:r w:rsidR="003868C3">
        <w:rPr>
          <w:rFonts w:ascii="Book Antiqua" w:hAnsi="Book Antiqua"/>
          <w:sz w:val="24"/>
          <w:szCs w:val="24"/>
        </w:rPr>
        <w:t>3</w:t>
      </w:r>
      <w:r w:rsidR="004079F6">
        <w:rPr>
          <w:rFonts w:ascii="Book Antiqua" w:hAnsi="Book Antiqua"/>
          <w:sz w:val="24"/>
          <w:szCs w:val="24"/>
        </w:rPr>
        <w:t>0</w:t>
      </w:r>
      <w:r w:rsidR="008A5F7E">
        <w:rPr>
          <w:rFonts w:ascii="Book Antiqua" w:hAnsi="Book Antiqua"/>
          <w:sz w:val="24"/>
          <w:szCs w:val="24"/>
        </w:rPr>
        <w:t xml:space="preserve"> hours.</w:t>
      </w:r>
    </w:p>
    <w:p w14:paraId="24825182" w14:textId="2868C2F8" w:rsidR="00C9449D" w:rsidRPr="00E243A8" w:rsidRDefault="00C9449D" w:rsidP="00FF2DAC">
      <w:pPr>
        <w:rPr>
          <w:rFonts w:ascii="Book Antiqua" w:hAnsi="Book Antiqua"/>
          <w:sz w:val="24"/>
          <w:szCs w:val="24"/>
        </w:rPr>
      </w:pPr>
      <w:r w:rsidRPr="00E243A8">
        <w:rPr>
          <w:rFonts w:ascii="Book Antiqua" w:hAnsi="Book Antiqua"/>
          <w:sz w:val="24"/>
          <w:szCs w:val="24"/>
        </w:rPr>
        <w:tab/>
      </w:r>
    </w:p>
    <w:p w14:paraId="367D9C74" w14:textId="77777777" w:rsidR="008006A0" w:rsidRPr="00E243A8" w:rsidRDefault="008006A0">
      <w:pPr>
        <w:rPr>
          <w:rFonts w:ascii="Book Antiqua" w:hAnsi="Book Antiqua"/>
          <w:sz w:val="24"/>
          <w:szCs w:val="24"/>
        </w:rPr>
      </w:pPr>
    </w:p>
    <w:sectPr w:rsidR="008006A0" w:rsidRPr="00E243A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B00C0" w14:textId="77777777" w:rsidR="00C72DA7" w:rsidRDefault="00C72DA7" w:rsidP="006A6DC3">
      <w:pPr>
        <w:spacing w:after="0" w:line="240" w:lineRule="auto"/>
      </w:pPr>
      <w:r>
        <w:separator/>
      </w:r>
    </w:p>
  </w:endnote>
  <w:endnote w:type="continuationSeparator" w:id="0">
    <w:p w14:paraId="6B7B86A8" w14:textId="77777777" w:rsidR="00C72DA7" w:rsidRDefault="00C72DA7" w:rsidP="006A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983280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0"/>
            <w:szCs w:val="20"/>
          </w:rPr>
        </w:sdtEndPr>
        <w:sdtContent>
          <w:p w14:paraId="198883EB" w14:textId="28BB67B6" w:rsidR="006A6DC3" w:rsidRPr="006A6DC3" w:rsidRDefault="006A6DC3">
            <w:pPr>
              <w:pStyle w:val="Footer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A6DC3">
              <w:rPr>
                <w:rFonts w:ascii="Book Antiqua" w:hAnsi="Book Antiqua"/>
                <w:b/>
                <w:sz w:val="20"/>
                <w:szCs w:val="20"/>
              </w:rPr>
              <w:t xml:space="preserve">Page </w:t>
            </w:r>
            <w:r w:rsidRPr="006A6DC3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begin"/>
            </w:r>
            <w:r w:rsidRPr="006A6DC3">
              <w:rPr>
                <w:rFonts w:ascii="Book Antiqua" w:hAnsi="Book Antiqua"/>
                <w:b/>
                <w:bCs/>
                <w:sz w:val="20"/>
                <w:szCs w:val="20"/>
              </w:rPr>
              <w:instrText xml:space="preserve"> PAGE </w:instrText>
            </w:r>
            <w:r w:rsidRPr="006A6DC3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separate"/>
            </w:r>
            <w:r w:rsidRPr="006A6DC3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t>2</w:t>
            </w:r>
            <w:r w:rsidRPr="006A6DC3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end"/>
            </w:r>
            <w:r w:rsidRPr="006A6DC3">
              <w:rPr>
                <w:rFonts w:ascii="Book Antiqua" w:hAnsi="Book Antiqua"/>
                <w:b/>
                <w:sz w:val="20"/>
                <w:szCs w:val="20"/>
              </w:rPr>
              <w:t xml:space="preserve"> of </w:t>
            </w:r>
            <w:r w:rsidRPr="006A6DC3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begin"/>
            </w:r>
            <w:r w:rsidRPr="006A6DC3">
              <w:rPr>
                <w:rFonts w:ascii="Book Antiqua" w:hAnsi="Book Antiqua"/>
                <w:b/>
                <w:bCs/>
                <w:sz w:val="20"/>
                <w:szCs w:val="20"/>
              </w:rPr>
              <w:instrText xml:space="preserve"> NUMPAGES  </w:instrText>
            </w:r>
            <w:r w:rsidRPr="006A6DC3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separate"/>
            </w:r>
            <w:r w:rsidRPr="006A6DC3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t>2</w:t>
            </w:r>
            <w:r w:rsidRPr="006A6DC3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end"/>
            </w:r>
            <w:r w:rsidR="003B36C9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June 1</w:t>
            </w:r>
            <w:r w:rsidR="009F79CD"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  <w:r w:rsidR="003B36C9">
              <w:rPr>
                <w:rFonts w:ascii="Book Antiqua" w:hAnsi="Book Antiqua"/>
                <w:b/>
                <w:bCs/>
                <w:sz w:val="20"/>
                <w:szCs w:val="20"/>
              </w:rPr>
              <w:t>, 2021</w:t>
            </w:r>
          </w:p>
        </w:sdtContent>
      </w:sdt>
    </w:sdtContent>
  </w:sdt>
  <w:p w14:paraId="25397EC7" w14:textId="77777777" w:rsidR="006A6DC3" w:rsidRDefault="006A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859B7" w14:textId="77777777" w:rsidR="00C72DA7" w:rsidRDefault="00C72DA7" w:rsidP="006A6DC3">
      <w:pPr>
        <w:spacing w:after="0" w:line="240" w:lineRule="auto"/>
      </w:pPr>
      <w:r>
        <w:separator/>
      </w:r>
    </w:p>
  </w:footnote>
  <w:footnote w:type="continuationSeparator" w:id="0">
    <w:p w14:paraId="61508CA8" w14:textId="77777777" w:rsidR="00C72DA7" w:rsidRDefault="00C72DA7" w:rsidP="006A6DC3">
      <w:pPr>
        <w:spacing w:after="0" w:line="240" w:lineRule="auto"/>
      </w:pPr>
      <w:r>
        <w:continuationSeparator/>
      </w:r>
    </w:p>
  </w:footnote>
  <w:footnote w:id="1">
    <w:p w14:paraId="75AABC54" w14:textId="796AF4AE" w:rsidR="00B86B89" w:rsidRDefault="00B86B89">
      <w:pPr>
        <w:pStyle w:val="FootnoteText"/>
      </w:pPr>
      <w:r>
        <w:rPr>
          <w:rStyle w:val="FootnoteReference"/>
        </w:rPr>
        <w:footnoteRef/>
      </w:r>
      <w:r>
        <w:t xml:space="preserve"> These include the substantial reduction in the number of “active cases” throughout the 13</w:t>
      </w:r>
      <w:r w:rsidRPr="00B86B89">
        <w:rPr>
          <w:vertAlign w:val="superscript"/>
        </w:rPr>
        <w:t>th</w:t>
      </w:r>
      <w:r>
        <w:t xml:space="preserve"> Judicial District and many other areas of Colorado</w:t>
      </w:r>
      <w:r w:rsidR="001470F9">
        <w:t>, namely, 66 cases out of a population of approximately 80,000 as of this date</w:t>
      </w:r>
      <w:r>
        <w:t xml:space="preserve">; and </w:t>
      </w:r>
      <w:r w:rsidR="00C81EF4">
        <w:t xml:space="preserve">the </w:t>
      </w:r>
      <w:r w:rsidR="005A3216">
        <w:t xml:space="preserve">past and ongoing </w:t>
      </w:r>
      <w:r w:rsidR="00C81EF4">
        <w:t xml:space="preserve">administration of a significant number of emergency </w:t>
      </w:r>
      <w:r w:rsidR="00343BCA">
        <w:t xml:space="preserve">authorization </w:t>
      </w:r>
      <w:r w:rsidR="00C81EF4">
        <w:t xml:space="preserve">vaccines to </w:t>
      </w:r>
      <w:r w:rsidR="005A3216">
        <w:t>staff in the 13</w:t>
      </w:r>
      <w:r w:rsidR="005A3216" w:rsidRPr="005A3216">
        <w:rPr>
          <w:vertAlign w:val="superscript"/>
        </w:rPr>
        <w:t>th</w:t>
      </w:r>
      <w:r w:rsidR="005A3216">
        <w:t xml:space="preserve"> Judicial District and </w:t>
      </w:r>
      <w:r w:rsidR="002476B0">
        <w:t>consumers of Court services.</w:t>
      </w:r>
      <w:r w:rsidR="00455F6E">
        <w:t xml:space="preserve">  Further, the Chief Justice of Colorado has now ordered that </w:t>
      </w:r>
      <w:r w:rsidR="000766B6">
        <w:t xml:space="preserve">each Chief Judge </w:t>
      </w:r>
      <w:r w:rsidR="00030516">
        <w:t>may determine the “facial covering and physical distancing requirements” in the courthouses and probation offices of that Chief Judge’s own District.</w:t>
      </w:r>
      <w:r w:rsidR="00E54939">
        <w:t xml:space="preserve">  </w:t>
      </w:r>
      <w:r w:rsidR="00E54939">
        <w:rPr>
          <w:i/>
          <w:iCs/>
        </w:rPr>
        <w:t>See</w:t>
      </w:r>
      <w:r w:rsidR="00E54939">
        <w:t xml:space="preserve"> Updated Order Regarding Safety in Colorado Courthouses, dated June 15, 2021.</w:t>
      </w:r>
      <w:r w:rsidR="008B5B46">
        <w:t xml:space="preserve">  The undersigned </w:t>
      </w:r>
      <w:r w:rsidR="00E54939">
        <w:t xml:space="preserve">also </w:t>
      </w:r>
      <w:r w:rsidR="008B5B46">
        <w:t>has considered</w:t>
      </w:r>
      <w:r w:rsidR="00370B64">
        <w:t xml:space="preserve"> P.H. Order 20-38</w:t>
      </w:r>
      <w:r w:rsidR="004D17A6">
        <w:t>, as amended, together with</w:t>
      </w:r>
      <w:r w:rsidR="008B5B46">
        <w:t xml:space="preserve"> </w:t>
      </w:r>
      <w:r w:rsidR="00F1722C">
        <w:t xml:space="preserve">any </w:t>
      </w:r>
      <w:r w:rsidR="008B5B46">
        <w:t xml:space="preserve">recommendations </w:t>
      </w:r>
      <w:r w:rsidR="00FE4159">
        <w:t>of the Northeast Colorado and Kit Carson County Departments of PH&amp;E in this regard.</w:t>
      </w:r>
      <w:r w:rsidR="00544E12">
        <w:t xml:space="preserve">  It is also noted that certain variant strains of COVID-19 may </w:t>
      </w:r>
      <w:r w:rsidR="007B4CDB">
        <w:t>affect persons within our District.</w:t>
      </w:r>
      <w:r w:rsidR="007E3582">
        <w:t xml:space="preserve">  Nevertheless, no binding public health orders have been issued a</w:t>
      </w:r>
      <w:r w:rsidR="00380C67">
        <w:t xml:space="preserve">s to the mitigation of such variants.  </w:t>
      </w:r>
    </w:p>
  </w:footnote>
  <w:footnote w:id="2">
    <w:p w14:paraId="7A40248B" w14:textId="542DBF67" w:rsidR="005C6631" w:rsidRPr="004668E3" w:rsidRDefault="005C66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668E3">
        <w:rPr>
          <w:i/>
          <w:iCs/>
        </w:rPr>
        <w:t>Planned Parenthood v. Casey</w:t>
      </w:r>
      <w:r w:rsidR="004668E3">
        <w:t>, 505 U.S. 833, 849 (</w:t>
      </w:r>
      <w:r w:rsidR="00B9057C">
        <w:t xml:space="preserve">1992) (“the Constitution places limits on the State’s right to interfere </w:t>
      </w:r>
      <w:r w:rsidR="0093253B">
        <w:t>with a person’s most basic decisions about…bodily integrity</w:t>
      </w:r>
      <w:r w:rsidR="00A43743">
        <w:t>) (citations omitted))</w:t>
      </w:r>
      <w:r w:rsidR="0043361C">
        <w:t xml:space="preserve">; </w:t>
      </w:r>
      <w:r w:rsidR="00231CAB">
        <w:rPr>
          <w:i/>
          <w:iCs/>
        </w:rPr>
        <w:t>Guertin v. State</w:t>
      </w:r>
      <w:r w:rsidR="006D6063">
        <w:t>, 912 F.3d 907, 919 (6</w:t>
      </w:r>
      <w:r w:rsidR="006D6063" w:rsidRPr="006D6063">
        <w:rPr>
          <w:vertAlign w:val="superscript"/>
        </w:rPr>
        <w:t>th</w:t>
      </w:r>
      <w:r w:rsidR="006D6063">
        <w:t xml:space="preserve"> Cir. 2019) (the right</w:t>
      </w:r>
      <w:r w:rsidR="00E2204D">
        <w:t xml:space="preserve"> “bears an impressive constitutional pedigree”) (internal quotation</w:t>
      </w:r>
      <w:r w:rsidR="009847A8">
        <w:t xml:space="preserve">s marks and citation omitted); </w:t>
      </w:r>
      <w:r w:rsidR="0003541F">
        <w:rPr>
          <w:i/>
          <w:iCs/>
        </w:rPr>
        <w:t>Sepulveda v. Ramirez</w:t>
      </w:r>
      <w:r w:rsidR="00366967">
        <w:t>, 967 F.2d 1413, 1415-16 (9</w:t>
      </w:r>
      <w:r w:rsidR="00366967" w:rsidRPr="00366967">
        <w:rPr>
          <w:vertAlign w:val="superscript"/>
        </w:rPr>
        <w:t>th</w:t>
      </w:r>
      <w:r w:rsidR="00366967">
        <w:t xml:space="preserve"> Cir. 1992) (</w:t>
      </w:r>
      <w:r w:rsidR="00EA7173">
        <w:t xml:space="preserve">right to bodily privacy is clearly established); </w:t>
      </w:r>
      <w:r w:rsidR="00151319">
        <w:rPr>
          <w:i/>
          <w:iCs/>
        </w:rPr>
        <w:t>see also Vitek v. Jones</w:t>
      </w:r>
      <w:r w:rsidR="00151319">
        <w:t>, 445 U.S. 480, 492 (</w:t>
      </w:r>
      <w:r w:rsidR="0056112F">
        <w:t>1980) (the Due Process Clause protects against “unjustified intrusions on personal security”) (</w:t>
      </w:r>
      <w:r w:rsidR="000327EC">
        <w:t>internal quotation marks omitted)</w:t>
      </w:r>
      <w:r w:rsidR="00783D61">
        <w:t xml:space="preserve"> (citing </w:t>
      </w:r>
      <w:r w:rsidR="00783D61">
        <w:rPr>
          <w:i/>
          <w:iCs/>
        </w:rPr>
        <w:t>Ingraham v. Wright</w:t>
      </w:r>
      <w:r w:rsidR="00783D61">
        <w:t>, 430 U.S. 651</w:t>
      </w:r>
      <w:r w:rsidR="00C81370">
        <w:t>, 673</w:t>
      </w:r>
      <w:r w:rsidR="00044E51">
        <w:t>-74</w:t>
      </w:r>
      <w:r w:rsidR="00C81370">
        <w:t xml:space="preserve"> </w:t>
      </w:r>
      <w:r w:rsidR="00783D61">
        <w:t>(</w:t>
      </w:r>
      <w:r w:rsidR="0044325C">
        <w:t>1977) (unjustified intrusions on personal security are among “historic liberties”</w:t>
      </w:r>
      <w:r w:rsidR="00C81370">
        <w:t xml:space="preserve"> under Due Process Clause)</w:t>
      </w:r>
      <w:r w:rsidR="00003835">
        <w:t>)</w:t>
      </w:r>
      <w:r w:rsidR="00F337E1">
        <w:t xml:space="preserve">; </w:t>
      </w:r>
      <w:r w:rsidR="00706ACE">
        <w:rPr>
          <w:i/>
          <w:iCs/>
        </w:rPr>
        <w:t>Robinson v. Atty. General</w:t>
      </w:r>
      <w:r w:rsidR="00706ACE">
        <w:t xml:space="preserve">, 957 F.3d 1171, 1179 </w:t>
      </w:r>
      <w:r w:rsidR="007054EE">
        <w:t>(11</w:t>
      </w:r>
      <w:r w:rsidR="007054EE" w:rsidRPr="007054EE">
        <w:rPr>
          <w:vertAlign w:val="superscript"/>
        </w:rPr>
        <w:t>th</w:t>
      </w:r>
      <w:r w:rsidR="007054EE">
        <w:t xml:space="preserve"> Cir. 2020) (deference traditionally extended to </w:t>
      </w:r>
      <w:r w:rsidR="001C3E1A">
        <w:t xml:space="preserve">orders by </w:t>
      </w:r>
      <w:r w:rsidR="007054EE">
        <w:t>public health officials</w:t>
      </w:r>
      <w:r w:rsidR="001C3E1A">
        <w:t xml:space="preserve"> is “not an absolute blank check for the exercise of governmental power</w:t>
      </w:r>
      <w:r w:rsidR="0014059E">
        <w:t>”)</w:t>
      </w:r>
      <w:r w:rsidR="003B7E7C">
        <w:t xml:space="preserve">; </w:t>
      </w:r>
      <w:r w:rsidR="003B7E7C">
        <w:rPr>
          <w:i/>
          <w:iCs/>
        </w:rPr>
        <w:t>cf. Green v. Alachua County</w:t>
      </w:r>
      <w:r w:rsidR="003B7E7C">
        <w:t xml:space="preserve">, </w:t>
      </w:r>
      <w:r w:rsidR="00900470">
        <w:t>___ So.3d ___, 2021 WL 2387983 (Dist.Ct. of Appeal</w:t>
      </w:r>
      <w:r w:rsidR="007C7220">
        <w:t xml:space="preserve"> of Florida, First Dist., 6/11/21) (holding that the “right to privacy” protected under Florida Constitution is “fundamental”; mask mandate must be analyzed under “strict scrutiny” princip</w:t>
      </w:r>
      <w:r w:rsidR="002F4F09">
        <w:t>le)</w:t>
      </w:r>
      <w:r w:rsidR="00A43743"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777"/>
    <w:multiLevelType w:val="hybridMultilevel"/>
    <w:tmpl w:val="A4B07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0936"/>
    <w:multiLevelType w:val="hybridMultilevel"/>
    <w:tmpl w:val="12E08196"/>
    <w:lvl w:ilvl="0" w:tplc="E2323080">
      <w:start w:val="1"/>
      <w:numFmt w:val="decimal"/>
      <w:lvlText w:val="%1."/>
      <w:lvlJc w:val="left"/>
      <w:pPr>
        <w:ind w:left="800" w:hanging="720"/>
        <w:jc w:val="right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</w:rPr>
    </w:lvl>
    <w:lvl w:ilvl="1" w:tplc="F9049B26">
      <w:start w:val="1"/>
      <w:numFmt w:val="lowerLetter"/>
      <w:lvlText w:val="%2."/>
      <w:lvlJc w:val="left"/>
      <w:pPr>
        <w:ind w:left="1960" w:hanging="360"/>
        <w:jc w:val="right"/>
      </w:pPr>
      <w:rPr>
        <w:rFonts w:ascii="Book Antiqua" w:eastAsia="Book Antiqua" w:hAnsi="Book Antiqua" w:cs="Book Antiqua" w:hint="default"/>
        <w:spacing w:val="-3"/>
        <w:w w:val="100"/>
        <w:sz w:val="24"/>
        <w:szCs w:val="24"/>
      </w:rPr>
    </w:lvl>
    <w:lvl w:ilvl="2" w:tplc="9AAEB320">
      <w:start w:val="1"/>
      <w:numFmt w:val="lowerRoman"/>
      <w:lvlText w:val="%3."/>
      <w:lvlJc w:val="left"/>
      <w:pPr>
        <w:ind w:left="2240" w:hanging="310"/>
        <w:jc w:val="right"/>
      </w:pPr>
      <w:rPr>
        <w:rFonts w:ascii="Book Antiqua" w:eastAsia="Book Antiqua" w:hAnsi="Book Antiqua" w:cs="Book Antiqua" w:hint="default"/>
        <w:spacing w:val="-3"/>
        <w:w w:val="100"/>
        <w:sz w:val="24"/>
        <w:szCs w:val="24"/>
      </w:rPr>
    </w:lvl>
    <w:lvl w:ilvl="3" w:tplc="67303256">
      <w:numFmt w:val="bullet"/>
      <w:lvlText w:val="•"/>
      <w:lvlJc w:val="left"/>
      <w:pPr>
        <w:ind w:left="1960" w:hanging="310"/>
      </w:pPr>
      <w:rPr>
        <w:rFonts w:hint="default"/>
      </w:rPr>
    </w:lvl>
    <w:lvl w:ilvl="4" w:tplc="529206CA">
      <w:numFmt w:val="bullet"/>
      <w:lvlText w:val="•"/>
      <w:lvlJc w:val="left"/>
      <w:pPr>
        <w:ind w:left="2240" w:hanging="310"/>
      </w:pPr>
      <w:rPr>
        <w:rFonts w:hint="default"/>
      </w:rPr>
    </w:lvl>
    <w:lvl w:ilvl="5" w:tplc="C092557E">
      <w:numFmt w:val="bullet"/>
      <w:lvlText w:val="•"/>
      <w:lvlJc w:val="left"/>
      <w:pPr>
        <w:ind w:left="3386" w:hanging="310"/>
      </w:pPr>
      <w:rPr>
        <w:rFonts w:hint="default"/>
      </w:rPr>
    </w:lvl>
    <w:lvl w:ilvl="6" w:tplc="2EE8E9EC">
      <w:numFmt w:val="bullet"/>
      <w:lvlText w:val="•"/>
      <w:lvlJc w:val="left"/>
      <w:pPr>
        <w:ind w:left="4533" w:hanging="310"/>
      </w:pPr>
      <w:rPr>
        <w:rFonts w:hint="default"/>
      </w:rPr>
    </w:lvl>
    <w:lvl w:ilvl="7" w:tplc="9F3C41FC">
      <w:numFmt w:val="bullet"/>
      <w:lvlText w:val="•"/>
      <w:lvlJc w:val="left"/>
      <w:pPr>
        <w:ind w:left="5680" w:hanging="310"/>
      </w:pPr>
      <w:rPr>
        <w:rFonts w:hint="default"/>
      </w:rPr>
    </w:lvl>
    <w:lvl w:ilvl="8" w:tplc="E774F69E">
      <w:numFmt w:val="bullet"/>
      <w:lvlText w:val="•"/>
      <w:lvlJc w:val="left"/>
      <w:pPr>
        <w:ind w:left="6826" w:hanging="310"/>
      </w:pPr>
      <w:rPr>
        <w:rFonts w:hint="default"/>
      </w:rPr>
    </w:lvl>
  </w:abstractNum>
  <w:abstractNum w:abstractNumId="2" w15:restartNumberingAfterBreak="0">
    <w:nsid w:val="12D474A8"/>
    <w:multiLevelType w:val="hybridMultilevel"/>
    <w:tmpl w:val="AE2A0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15C67A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906"/>
    <w:multiLevelType w:val="hybridMultilevel"/>
    <w:tmpl w:val="666A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A032D"/>
    <w:multiLevelType w:val="multilevel"/>
    <w:tmpl w:val="E8E8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55249"/>
    <w:multiLevelType w:val="hybridMultilevel"/>
    <w:tmpl w:val="6018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25EB6"/>
    <w:multiLevelType w:val="hybridMultilevel"/>
    <w:tmpl w:val="82AC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A0"/>
    <w:rsid w:val="00003835"/>
    <w:rsid w:val="00030516"/>
    <w:rsid w:val="000327EC"/>
    <w:rsid w:val="000338A7"/>
    <w:rsid w:val="0003541F"/>
    <w:rsid w:val="00044E51"/>
    <w:rsid w:val="00050D3A"/>
    <w:rsid w:val="000608CC"/>
    <w:rsid w:val="00060DB5"/>
    <w:rsid w:val="00073837"/>
    <w:rsid w:val="000766B6"/>
    <w:rsid w:val="000807F9"/>
    <w:rsid w:val="0009394A"/>
    <w:rsid w:val="000972B3"/>
    <w:rsid w:val="000A3269"/>
    <w:rsid w:val="000A60D7"/>
    <w:rsid w:val="000C4BA5"/>
    <w:rsid w:val="000D53C8"/>
    <w:rsid w:val="0011178C"/>
    <w:rsid w:val="001271EF"/>
    <w:rsid w:val="00130760"/>
    <w:rsid w:val="001371B6"/>
    <w:rsid w:val="0014059E"/>
    <w:rsid w:val="001470F9"/>
    <w:rsid w:val="00151319"/>
    <w:rsid w:val="00170A9A"/>
    <w:rsid w:val="00172F1C"/>
    <w:rsid w:val="001C3E1A"/>
    <w:rsid w:val="001C6210"/>
    <w:rsid w:val="001C649A"/>
    <w:rsid w:val="001D242D"/>
    <w:rsid w:val="001D6207"/>
    <w:rsid w:val="001E4BC1"/>
    <w:rsid w:val="002022E9"/>
    <w:rsid w:val="00206799"/>
    <w:rsid w:val="002127AE"/>
    <w:rsid w:val="00212F67"/>
    <w:rsid w:val="00231CAB"/>
    <w:rsid w:val="00240D3C"/>
    <w:rsid w:val="002476B0"/>
    <w:rsid w:val="002503F3"/>
    <w:rsid w:val="002513FF"/>
    <w:rsid w:val="002647DD"/>
    <w:rsid w:val="002A23FC"/>
    <w:rsid w:val="002B087C"/>
    <w:rsid w:val="002B2D17"/>
    <w:rsid w:val="002B6DE8"/>
    <w:rsid w:val="002B7B6B"/>
    <w:rsid w:val="002B7F72"/>
    <w:rsid w:val="002C69AB"/>
    <w:rsid w:val="002E28DB"/>
    <w:rsid w:val="002E3204"/>
    <w:rsid w:val="002E5179"/>
    <w:rsid w:val="002F4F09"/>
    <w:rsid w:val="00302987"/>
    <w:rsid w:val="00303DF7"/>
    <w:rsid w:val="003065B0"/>
    <w:rsid w:val="003116A3"/>
    <w:rsid w:val="00327F17"/>
    <w:rsid w:val="00343BCA"/>
    <w:rsid w:val="00360E79"/>
    <w:rsid w:val="00361F28"/>
    <w:rsid w:val="003622E3"/>
    <w:rsid w:val="00366967"/>
    <w:rsid w:val="00370B64"/>
    <w:rsid w:val="003765ED"/>
    <w:rsid w:val="00380C67"/>
    <w:rsid w:val="003868C3"/>
    <w:rsid w:val="00387041"/>
    <w:rsid w:val="00396E66"/>
    <w:rsid w:val="003A2E5B"/>
    <w:rsid w:val="003B1388"/>
    <w:rsid w:val="003B36C9"/>
    <w:rsid w:val="003B7E01"/>
    <w:rsid w:val="003B7E7C"/>
    <w:rsid w:val="003E285D"/>
    <w:rsid w:val="003E599E"/>
    <w:rsid w:val="003F36D5"/>
    <w:rsid w:val="003F5782"/>
    <w:rsid w:val="0040249C"/>
    <w:rsid w:val="004038D0"/>
    <w:rsid w:val="004079F6"/>
    <w:rsid w:val="00412A3E"/>
    <w:rsid w:val="0041408E"/>
    <w:rsid w:val="0042169A"/>
    <w:rsid w:val="00431949"/>
    <w:rsid w:val="0043361C"/>
    <w:rsid w:val="0043432F"/>
    <w:rsid w:val="0044325C"/>
    <w:rsid w:val="00450037"/>
    <w:rsid w:val="00455F6E"/>
    <w:rsid w:val="0046232D"/>
    <w:rsid w:val="004668E3"/>
    <w:rsid w:val="0046771D"/>
    <w:rsid w:val="00476F8D"/>
    <w:rsid w:val="004950C1"/>
    <w:rsid w:val="004966CD"/>
    <w:rsid w:val="004B0048"/>
    <w:rsid w:val="004B4372"/>
    <w:rsid w:val="004C6D00"/>
    <w:rsid w:val="004D17A6"/>
    <w:rsid w:val="004D1AEF"/>
    <w:rsid w:val="00502031"/>
    <w:rsid w:val="005132A3"/>
    <w:rsid w:val="00514F1A"/>
    <w:rsid w:val="005170C5"/>
    <w:rsid w:val="005264FA"/>
    <w:rsid w:val="0053626D"/>
    <w:rsid w:val="00543088"/>
    <w:rsid w:val="00544E12"/>
    <w:rsid w:val="00545895"/>
    <w:rsid w:val="0056112F"/>
    <w:rsid w:val="0058660E"/>
    <w:rsid w:val="005967AD"/>
    <w:rsid w:val="005A2337"/>
    <w:rsid w:val="005A3216"/>
    <w:rsid w:val="005C53EE"/>
    <w:rsid w:val="005C64C7"/>
    <w:rsid w:val="005C6631"/>
    <w:rsid w:val="005C6C57"/>
    <w:rsid w:val="005E2D58"/>
    <w:rsid w:val="005E56CF"/>
    <w:rsid w:val="005F0982"/>
    <w:rsid w:val="006005A3"/>
    <w:rsid w:val="006037BC"/>
    <w:rsid w:val="00621381"/>
    <w:rsid w:val="0062574A"/>
    <w:rsid w:val="00653672"/>
    <w:rsid w:val="006548D4"/>
    <w:rsid w:val="0066364C"/>
    <w:rsid w:val="006651A0"/>
    <w:rsid w:val="00672D87"/>
    <w:rsid w:val="006840A8"/>
    <w:rsid w:val="00685B77"/>
    <w:rsid w:val="006A470F"/>
    <w:rsid w:val="006A589F"/>
    <w:rsid w:val="006A629A"/>
    <w:rsid w:val="006A6DC3"/>
    <w:rsid w:val="006A6F6C"/>
    <w:rsid w:val="006B1118"/>
    <w:rsid w:val="006B30B2"/>
    <w:rsid w:val="006D6063"/>
    <w:rsid w:val="006D7F21"/>
    <w:rsid w:val="006F39E0"/>
    <w:rsid w:val="007054EE"/>
    <w:rsid w:val="00706ACE"/>
    <w:rsid w:val="00720694"/>
    <w:rsid w:val="00720F49"/>
    <w:rsid w:val="007351F9"/>
    <w:rsid w:val="007358BF"/>
    <w:rsid w:val="00735B07"/>
    <w:rsid w:val="007504F7"/>
    <w:rsid w:val="00750E7F"/>
    <w:rsid w:val="007624A3"/>
    <w:rsid w:val="007644A5"/>
    <w:rsid w:val="00781860"/>
    <w:rsid w:val="00783CBC"/>
    <w:rsid w:val="00783D61"/>
    <w:rsid w:val="00784EDB"/>
    <w:rsid w:val="00792380"/>
    <w:rsid w:val="0079472C"/>
    <w:rsid w:val="00796C0A"/>
    <w:rsid w:val="007A6483"/>
    <w:rsid w:val="007A7010"/>
    <w:rsid w:val="007B4CDB"/>
    <w:rsid w:val="007C7220"/>
    <w:rsid w:val="007D0E07"/>
    <w:rsid w:val="007D3A13"/>
    <w:rsid w:val="007E1FC9"/>
    <w:rsid w:val="007E3582"/>
    <w:rsid w:val="007E384F"/>
    <w:rsid w:val="007F1E78"/>
    <w:rsid w:val="007F3C42"/>
    <w:rsid w:val="008006A0"/>
    <w:rsid w:val="008144EA"/>
    <w:rsid w:val="00816AB4"/>
    <w:rsid w:val="00825CF6"/>
    <w:rsid w:val="0082766D"/>
    <w:rsid w:val="008404B2"/>
    <w:rsid w:val="00840737"/>
    <w:rsid w:val="0084162B"/>
    <w:rsid w:val="008533DB"/>
    <w:rsid w:val="0085789B"/>
    <w:rsid w:val="00857D80"/>
    <w:rsid w:val="008816A3"/>
    <w:rsid w:val="0088570C"/>
    <w:rsid w:val="008A5F7E"/>
    <w:rsid w:val="008B03C8"/>
    <w:rsid w:val="008B5B46"/>
    <w:rsid w:val="008C3446"/>
    <w:rsid w:val="00900470"/>
    <w:rsid w:val="009114D1"/>
    <w:rsid w:val="0093253B"/>
    <w:rsid w:val="0093573E"/>
    <w:rsid w:val="00935D9E"/>
    <w:rsid w:val="00936EC9"/>
    <w:rsid w:val="00976A72"/>
    <w:rsid w:val="009811FA"/>
    <w:rsid w:val="009847A8"/>
    <w:rsid w:val="00994F30"/>
    <w:rsid w:val="009C004E"/>
    <w:rsid w:val="009C06C0"/>
    <w:rsid w:val="009C7ACB"/>
    <w:rsid w:val="009D6697"/>
    <w:rsid w:val="009F2500"/>
    <w:rsid w:val="009F2F39"/>
    <w:rsid w:val="009F79CD"/>
    <w:rsid w:val="00A01188"/>
    <w:rsid w:val="00A068A5"/>
    <w:rsid w:val="00A1412F"/>
    <w:rsid w:val="00A20461"/>
    <w:rsid w:val="00A208F6"/>
    <w:rsid w:val="00A4049D"/>
    <w:rsid w:val="00A43743"/>
    <w:rsid w:val="00A52C1F"/>
    <w:rsid w:val="00A67A2D"/>
    <w:rsid w:val="00A83045"/>
    <w:rsid w:val="00A83422"/>
    <w:rsid w:val="00A83486"/>
    <w:rsid w:val="00A840D1"/>
    <w:rsid w:val="00A84C70"/>
    <w:rsid w:val="00A8709E"/>
    <w:rsid w:val="00A938D1"/>
    <w:rsid w:val="00A942D7"/>
    <w:rsid w:val="00A95646"/>
    <w:rsid w:val="00AC534C"/>
    <w:rsid w:val="00AD391A"/>
    <w:rsid w:val="00AD42B7"/>
    <w:rsid w:val="00AE1E5D"/>
    <w:rsid w:val="00AE608E"/>
    <w:rsid w:val="00B05B2A"/>
    <w:rsid w:val="00B17260"/>
    <w:rsid w:val="00B304A1"/>
    <w:rsid w:val="00B37A2D"/>
    <w:rsid w:val="00B63496"/>
    <w:rsid w:val="00B67BD3"/>
    <w:rsid w:val="00B71527"/>
    <w:rsid w:val="00B8002A"/>
    <w:rsid w:val="00B86B89"/>
    <w:rsid w:val="00B9057C"/>
    <w:rsid w:val="00BA701E"/>
    <w:rsid w:val="00BC0C98"/>
    <w:rsid w:val="00BC2D2A"/>
    <w:rsid w:val="00BC4D82"/>
    <w:rsid w:val="00BD0DBD"/>
    <w:rsid w:val="00BD1A88"/>
    <w:rsid w:val="00BF5994"/>
    <w:rsid w:val="00C079D9"/>
    <w:rsid w:val="00C23D43"/>
    <w:rsid w:val="00C33512"/>
    <w:rsid w:val="00C404DE"/>
    <w:rsid w:val="00C61159"/>
    <w:rsid w:val="00C639B1"/>
    <w:rsid w:val="00C72DA7"/>
    <w:rsid w:val="00C81370"/>
    <w:rsid w:val="00C81EF4"/>
    <w:rsid w:val="00C94303"/>
    <w:rsid w:val="00C9449D"/>
    <w:rsid w:val="00CA5040"/>
    <w:rsid w:val="00CA7752"/>
    <w:rsid w:val="00CB0518"/>
    <w:rsid w:val="00CC5C69"/>
    <w:rsid w:val="00CD4FE1"/>
    <w:rsid w:val="00CD5E55"/>
    <w:rsid w:val="00CE3E52"/>
    <w:rsid w:val="00CF2A86"/>
    <w:rsid w:val="00CF3A56"/>
    <w:rsid w:val="00CF509B"/>
    <w:rsid w:val="00CF5119"/>
    <w:rsid w:val="00D0166E"/>
    <w:rsid w:val="00D1351B"/>
    <w:rsid w:val="00D13751"/>
    <w:rsid w:val="00D20ACC"/>
    <w:rsid w:val="00D37A89"/>
    <w:rsid w:val="00D56558"/>
    <w:rsid w:val="00D627EA"/>
    <w:rsid w:val="00D652F4"/>
    <w:rsid w:val="00D71EEB"/>
    <w:rsid w:val="00D74622"/>
    <w:rsid w:val="00D75321"/>
    <w:rsid w:val="00D930B9"/>
    <w:rsid w:val="00DA31D2"/>
    <w:rsid w:val="00DA42B6"/>
    <w:rsid w:val="00DA7F80"/>
    <w:rsid w:val="00DB61C2"/>
    <w:rsid w:val="00DD3B88"/>
    <w:rsid w:val="00DE0699"/>
    <w:rsid w:val="00E16A8F"/>
    <w:rsid w:val="00E2204D"/>
    <w:rsid w:val="00E243A8"/>
    <w:rsid w:val="00E260A5"/>
    <w:rsid w:val="00E26310"/>
    <w:rsid w:val="00E30E06"/>
    <w:rsid w:val="00E31BE6"/>
    <w:rsid w:val="00E45888"/>
    <w:rsid w:val="00E47899"/>
    <w:rsid w:val="00E54939"/>
    <w:rsid w:val="00E60278"/>
    <w:rsid w:val="00E60DC0"/>
    <w:rsid w:val="00E63E17"/>
    <w:rsid w:val="00E9302D"/>
    <w:rsid w:val="00E94FB8"/>
    <w:rsid w:val="00EA1FF2"/>
    <w:rsid w:val="00EA43C1"/>
    <w:rsid w:val="00EA7173"/>
    <w:rsid w:val="00EB00B8"/>
    <w:rsid w:val="00EB3AF3"/>
    <w:rsid w:val="00EC15F8"/>
    <w:rsid w:val="00ED2C84"/>
    <w:rsid w:val="00F151EA"/>
    <w:rsid w:val="00F1722C"/>
    <w:rsid w:val="00F30A98"/>
    <w:rsid w:val="00F337E1"/>
    <w:rsid w:val="00F40CB4"/>
    <w:rsid w:val="00F425AA"/>
    <w:rsid w:val="00F44E63"/>
    <w:rsid w:val="00F51279"/>
    <w:rsid w:val="00F51CE6"/>
    <w:rsid w:val="00F67D2B"/>
    <w:rsid w:val="00F752BC"/>
    <w:rsid w:val="00F9218F"/>
    <w:rsid w:val="00F94579"/>
    <w:rsid w:val="00FA4C86"/>
    <w:rsid w:val="00FA6644"/>
    <w:rsid w:val="00FC0668"/>
    <w:rsid w:val="00FC2ACE"/>
    <w:rsid w:val="00FC2F4A"/>
    <w:rsid w:val="00FD04C6"/>
    <w:rsid w:val="00FD352D"/>
    <w:rsid w:val="00FE2FC9"/>
    <w:rsid w:val="00FE4159"/>
    <w:rsid w:val="00FE71FE"/>
    <w:rsid w:val="00FE7531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321CF"/>
  <w15:chartTrackingRefBased/>
  <w15:docId w15:val="{1A4E2F55-023A-406E-8E71-BDA8759B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38D1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94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DC3"/>
  </w:style>
  <w:style w:type="paragraph" w:styleId="Footer">
    <w:name w:val="footer"/>
    <w:basedOn w:val="Normal"/>
    <w:link w:val="FooterChar"/>
    <w:uiPriority w:val="99"/>
    <w:unhideWhenUsed/>
    <w:rsid w:val="006A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DC3"/>
  </w:style>
  <w:style w:type="table" w:customStyle="1" w:styleId="TableGrid">
    <w:name w:val="TableGrid"/>
    <w:rsid w:val="00212F6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01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1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38D1"/>
    <w:rPr>
      <w:rFonts w:ascii="Book Antiqua" w:eastAsia="Book Antiqua" w:hAnsi="Book Antiqua" w:cs="Book Antiqu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351F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B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B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53F639AC5D145A07EA54416D5E1C3" ma:contentTypeVersion="7" ma:contentTypeDescription="Create a new document." ma:contentTypeScope="" ma:versionID="6dfaa01945e3c2a645a24fa0554c87cd">
  <xsd:schema xmlns:xsd="http://www.w3.org/2001/XMLSchema" xmlns:xs="http://www.w3.org/2001/XMLSchema" xmlns:p="http://schemas.microsoft.com/office/2006/metadata/properties" xmlns:ns3="e9dbf350-d8a5-4bc0-9fa2-dc1c8eb74721" targetNamespace="http://schemas.microsoft.com/office/2006/metadata/properties" ma:root="true" ma:fieldsID="714c3e5f6367f40e73b9b041efa9283d" ns3:_="">
    <xsd:import namespace="e9dbf350-d8a5-4bc0-9fa2-dc1c8eb74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bf350-d8a5-4bc0-9fa2-dc1c8eb74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A4FA-2FF2-4F93-ACC1-27C9D4C3D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968984-381F-4004-A6BE-9AF1E4813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bf350-d8a5-4bc0-9fa2-dc1c8eb74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507FE-DF5D-4110-8499-C881E2B5F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7E988-EFBC-400A-A105-F26EB1DF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mark</dc:creator>
  <cp:keywords/>
  <dc:description/>
  <cp:lastModifiedBy>singer, michael</cp:lastModifiedBy>
  <cp:revision>47</cp:revision>
  <cp:lastPrinted>2020-03-13T21:03:00Z</cp:lastPrinted>
  <dcterms:created xsi:type="dcterms:W3CDTF">2021-06-16T23:11:00Z</dcterms:created>
  <dcterms:modified xsi:type="dcterms:W3CDTF">2021-06-17T15:28:00Z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0x010100FC253F639AC5D145A07EA54416D5E1C3</vt:lpwstr>
  </property>
</Properties>
</file>