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61" w:rsidRPr="001D6410" w:rsidRDefault="0014155D" w:rsidP="002423BB">
      <w:pPr>
        <w:widowControl w:val="0"/>
        <w:spacing w:line="480" w:lineRule="auto"/>
        <w:ind w:firstLine="720"/>
        <w:rPr>
          <w:rFonts w:ascii="Garamond" w:hAnsi="Garamond"/>
          <w:b/>
        </w:rPr>
      </w:pPr>
      <w:r w:rsidRPr="001D6410">
        <w:rPr>
          <w:rFonts w:ascii="Garamond" w:hAnsi="Garamond"/>
        </w:rPr>
        <w:t xml:space="preserve">The Court expects full compliance </w:t>
      </w:r>
      <w:r w:rsidR="007C6856">
        <w:rPr>
          <w:rFonts w:ascii="Garamond" w:hAnsi="Garamond"/>
        </w:rPr>
        <w:t>with the instructions contained herein</w:t>
      </w:r>
      <w:r w:rsidRPr="001D6410">
        <w:rPr>
          <w:rFonts w:ascii="Garamond" w:hAnsi="Garamond"/>
        </w:rPr>
        <w:t xml:space="preserve">. </w:t>
      </w:r>
      <w:r w:rsidR="007C6856">
        <w:rPr>
          <w:rFonts w:ascii="Garamond" w:hAnsi="Garamond"/>
        </w:rPr>
        <w:t xml:space="preserve">Once </w:t>
      </w:r>
      <w:r w:rsidR="00EC5061" w:rsidRPr="001D6410">
        <w:rPr>
          <w:rFonts w:ascii="Garamond" w:hAnsi="Garamond"/>
        </w:rPr>
        <w:t>all parties have been served and have either appeared or defaulted</w:t>
      </w:r>
      <w:r w:rsidR="007C6856">
        <w:rPr>
          <w:rFonts w:ascii="Garamond" w:hAnsi="Garamond"/>
        </w:rPr>
        <w:t>,</w:t>
      </w:r>
      <w:r w:rsidR="00EC5061" w:rsidRPr="001D6410">
        <w:rPr>
          <w:rFonts w:ascii="Garamond" w:hAnsi="Garamond"/>
        </w:rPr>
        <w:t xml:space="preserve"> </w:t>
      </w:r>
      <w:r w:rsidR="007C6856">
        <w:rPr>
          <w:rFonts w:ascii="Garamond" w:hAnsi="Garamond"/>
        </w:rPr>
        <w:t>t</w:t>
      </w:r>
      <w:r w:rsidR="007D4D98" w:rsidRPr="001D6410">
        <w:rPr>
          <w:rFonts w:ascii="Garamond" w:hAnsi="Garamond"/>
        </w:rPr>
        <w:t>he</w:t>
      </w:r>
      <w:r w:rsidR="00EC5061" w:rsidRPr="001D6410">
        <w:rPr>
          <w:rFonts w:ascii="Garamond" w:hAnsi="Garamond"/>
        </w:rPr>
        <w:t xml:space="preserve"> Court </w:t>
      </w:r>
      <w:r w:rsidR="007C6856">
        <w:rPr>
          <w:rFonts w:ascii="Garamond" w:hAnsi="Garamond"/>
        </w:rPr>
        <w:t xml:space="preserve">will </w:t>
      </w:r>
      <w:r w:rsidR="007D4D98" w:rsidRPr="001D6410">
        <w:rPr>
          <w:rFonts w:ascii="Garamond" w:hAnsi="Garamond"/>
        </w:rPr>
        <w:t xml:space="preserve">declare the case </w:t>
      </w:r>
      <w:r w:rsidR="00EC5061" w:rsidRPr="001D6410">
        <w:rPr>
          <w:rFonts w:ascii="Garamond" w:hAnsi="Garamond"/>
        </w:rPr>
        <w:t>to be at issue</w:t>
      </w:r>
      <w:r w:rsidR="00DE32CB" w:rsidRPr="001D6410">
        <w:rPr>
          <w:rFonts w:ascii="Garamond" w:hAnsi="Garamond"/>
        </w:rPr>
        <w:t>.</w:t>
      </w:r>
      <w:r w:rsidR="00EC5061" w:rsidRPr="001D6410">
        <w:rPr>
          <w:rFonts w:ascii="Garamond" w:hAnsi="Garamond"/>
          <w:b/>
        </w:rPr>
        <w:t xml:space="preserve">  </w:t>
      </w:r>
    </w:p>
    <w:p w:rsidR="00950ADE" w:rsidRPr="001D6410" w:rsidRDefault="00EC5061" w:rsidP="002423BB">
      <w:pPr>
        <w:widowControl w:val="0"/>
        <w:spacing w:line="480" w:lineRule="auto"/>
        <w:ind w:firstLine="720"/>
        <w:rPr>
          <w:rFonts w:ascii="Garamond" w:hAnsi="Garamond"/>
        </w:rPr>
      </w:pPr>
      <w:r w:rsidRPr="001D6410">
        <w:rPr>
          <w:rFonts w:ascii="Garamond" w:hAnsi="Garamond"/>
        </w:rPr>
        <w:t xml:space="preserve">Counsel and any parties who are </w:t>
      </w:r>
      <w:r w:rsidR="00841DEA" w:rsidRPr="001D6410">
        <w:rPr>
          <w:rFonts w:ascii="Garamond" w:hAnsi="Garamond"/>
        </w:rPr>
        <w:t>self-represented</w:t>
      </w:r>
      <w:r w:rsidRPr="001D6410">
        <w:rPr>
          <w:rFonts w:ascii="Garamond" w:hAnsi="Garamond"/>
        </w:rPr>
        <w:t xml:space="preserve"> </w:t>
      </w:r>
      <w:r w:rsidR="007131BE" w:rsidRPr="001D6410">
        <w:rPr>
          <w:rFonts w:ascii="Garamond" w:hAnsi="Garamond"/>
        </w:rPr>
        <w:t xml:space="preserve">must meaningfully </w:t>
      </w:r>
      <w:r w:rsidRPr="001D6410">
        <w:rPr>
          <w:rFonts w:ascii="Garamond" w:hAnsi="Garamond"/>
        </w:rPr>
        <w:t>confer as</w:t>
      </w:r>
      <w:r w:rsidR="007131BE" w:rsidRPr="001D6410">
        <w:rPr>
          <w:rFonts w:ascii="Garamond" w:hAnsi="Garamond"/>
        </w:rPr>
        <w:t xml:space="preserve"> contemplated by </w:t>
      </w:r>
      <w:r w:rsidR="00C13454">
        <w:rPr>
          <w:rFonts w:ascii="Garamond" w:hAnsi="Garamond"/>
        </w:rPr>
        <w:t>Colo. R. Civ. P.</w:t>
      </w:r>
      <w:r w:rsidR="00C13454" w:rsidRPr="001D6410">
        <w:rPr>
          <w:rFonts w:ascii="Garamond" w:hAnsi="Garamond"/>
        </w:rPr>
        <w:t xml:space="preserve"> </w:t>
      </w:r>
      <w:r w:rsidR="007131BE" w:rsidRPr="001D6410">
        <w:rPr>
          <w:rFonts w:ascii="Garamond" w:hAnsi="Garamond"/>
        </w:rPr>
        <w:t xml:space="preserve">16(b)(3) within 14 days.  </w:t>
      </w:r>
      <w:r w:rsidR="007C66E3" w:rsidRPr="001D6410">
        <w:rPr>
          <w:rFonts w:ascii="Garamond" w:hAnsi="Garamond"/>
        </w:rPr>
        <w:t>The R</w:t>
      </w:r>
      <w:r w:rsidR="007936A6" w:rsidRPr="001D6410">
        <w:rPr>
          <w:rFonts w:ascii="Garamond" w:hAnsi="Garamond"/>
        </w:rPr>
        <w:t xml:space="preserve">esponsible Attorney must contact the Court’s Division Clerk, Jessica Wichman, at (970) 494-3610 </w:t>
      </w:r>
      <w:r w:rsidR="007C66E3" w:rsidRPr="00736DB7">
        <w:rPr>
          <w:rFonts w:ascii="Garamond" w:hAnsi="Garamond"/>
        </w:rPr>
        <w:t>within 14 days from today to schedule</w:t>
      </w:r>
      <w:r w:rsidR="007C66E3" w:rsidRPr="001D6410">
        <w:rPr>
          <w:rFonts w:ascii="Garamond" w:hAnsi="Garamond"/>
        </w:rPr>
        <w:t xml:space="preserve"> the case management conference.  The </w:t>
      </w:r>
      <w:r w:rsidR="007C66E3" w:rsidRPr="002423BB">
        <w:rPr>
          <w:rFonts w:ascii="Garamond" w:hAnsi="Garamond"/>
        </w:rPr>
        <w:t>Court</w:t>
      </w:r>
      <w:r w:rsidR="007936A6" w:rsidRPr="002423BB">
        <w:rPr>
          <w:rFonts w:ascii="Garamond" w:hAnsi="Garamond"/>
        </w:rPr>
        <w:t xml:space="preserve"> holds Case Management Conferences</w:t>
      </w:r>
      <w:r w:rsidR="007C66E3" w:rsidRPr="002423BB">
        <w:rPr>
          <w:rFonts w:ascii="Garamond" w:hAnsi="Garamond"/>
        </w:rPr>
        <w:t xml:space="preserve"> </w:t>
      </w:r>
      <w:r w:rsidR="002423BB">
        <w:rPr>
          <w:rFonts w:ascii="Garamond" w:hAnsi="Garamond"/>
        </w:rPr>
        <w:t xml:space="preserve">Tuesdays </w:t>
      </w:r>
      <w:r w:rsidR="007936A6" w:rsidRPr="002423BB">
        <w:rPr>
          <w:rFonts w:ascii="Garamond" w:hAnsi="Garamond"/>
        </w:rPr>
        <w:t>and Thursdays at 9:</w:t>
      </w:r>
      <w:r w:rsidR="002423BB">
        <w:rPr>
          <w:rFonts w:ascii="Garamond" w:hAnsi="Garamond"/>
        </w:rPr>
        <w:t>00</w:t>
      </w:r>
      <w:r w:rsidR="007936A6" w:rsidRPr="002423BB">
        <w:rPr>
          <w:rFonts w:ascii="Garamond" w:hAnsi="Garamond"/>
        </w:rPr>
        <w:t xml:space="preserve"> a</w:t>
      </w:r>
      <w:r w:rsidR="007C66E3" w:rsidRPr="002423BB">
        <w:rPr>
          <w:rFonts w:ascii="Garamond" w:hAnsi="Garamond"/>
        </w:rPr>
        <w:t>.m.  If you have</w:t>
      </w:r>
      <w:r w:rsidR="007C66E3" w:rsidRPr="001D6410">
        <w:rPr>
          <w:rFonts w:ascii="Garamond" w:hAnsi="Garamond"/>
        </w:rPr>
        <w:t xml:space="preserve"> any questions please contact the Court’s Division Clerk, </w:t>
      </w:r>
      <w:r w:rsidR="007936A6" w:rsidRPr="001D6410">
        <w:rPr>
          <w:rFonts w:ascii="Garamond" w:hAnsi="Garamond"/>
        </w:rPr>
        <w:t>Jessica Wichman</w:t>
      </w:r>
      <w:r w:rsidR="007C66E3" w:rsidRPr="001D6410">
        <w:rPr>
          <w:rFonts w:ascii="Garamond" w:hAnsi="Garamond"/>
        </w:rPr>
        <w:t xml:space="preserve">, at </w:t>
      </w:r>
      <w:r w:rsidR="007936A6" w:rsidRPr="001D6410">
        <w:rPr>
          <w:rFonts w:ascii="Garamond" w:hAnsi="Garamond"/>
        </w:rPr>
        <w:t>the above number</w:t>
      </w:r>
      <w:r w:rsidR="002423BB">
        <w:rPr>
          <w:rFonts w:ascii="Garamond" w:hAnsi="Garamond"/>
        </w:rPr>
        <w:t>.</w:t>
      </w:r>
      <w:r w:rsidR="007C66E3" w:rsidRPr="001D6410">
        <w:rPr>
          <w:rFonts w:ascii="Garamond" w:hAnsi="Garamond"/>
        </w:rPr>
        <w:t xml:space="preserve"> </w:t>
      </w:r>
    </w:p>
    <w:p w:rsidR="00343AC5" w:rsidRPr="001D6410" w:rsidRDefault="007131BE" w:rsidP="002423BB">
      <w:pPr>
        <w:widowControl w:val="0"/>
        <w:spacing w:line="480" w:lineRule="auto"/>
        <w:ind w:firstLine="720"/>
        <w:rPr>
          <w:rFonts w:ascii="Garamond" w:hAnsi="Garamond"/>
        </w:rPr>
      </w:pPr>
      <w:r w:rsidRPr="001D6410">
        <w:rPr>
          <w:rFonts w:ascii="Garamond" w:hAnsi="Garamond"/>
        </w:rPr>
        <w:t xml:space="preserve">The Responsible Attorney must schedule the case management conference </w:t>
      </w:r>
      <w:r w:rsidR="009A0508" w:rsidRPr="001D6410">
        <w:rPr>
          <w:rFonts w:ascii="Garamond" w:hAnsi="Garamond"/>
        </w:rPr>
        <w:t xml:space="preserve">to take place between 35 and </w:t>
      </w:r>
      <w:r w:rsidRPr="001D6410">
        <w:rPr>
          <w:rFonts w:ascii="Garamond" w:hAnsi="Garamond"/>
        </w:rPr>
        <w:t>49 days from today.</w:t>
      </w:r>
      <w:r w:rsidR="00343AC5" w:rsidRPr="001D6410">
        <w:rPr>
          <w:rFonts w:ascii="Garamond" w:hAnsi="Garamond"/>
        </w:rPr>
        <w:t xml:space="preserve">  Both </w:t>
      </w:r>
      <w:r w:rsidR="00C13454">
        <w:rPr>
          <w:rFonts w:ascii="Garamond" w:hAnsi="Garamond"/>
        </w:rPr>
        <w:t>Colo. R. Civ. P.</w:t>
      </w:r>
      <w:r w:rsidR="00C13454" w:rsidRPr="001D6410">
        <w:rPr>
          <w:rFonts w:ascii="Garamond" w:hAnsi="Garamond"/>
        </w:rPr>
        <w:t xml:space="preserve"> </w:t>
      </w:r>
      <w:r w:rsidR="00343AC5" w:rsidRPr="001D6410">
        <w:rPr>
          <w:rFonts w:ascii="Garamond" w:hAnsi="Garamond"/>
        </w:rPr>
        <w:t xml:space="preserve">16(d) and this Court require the conference to be in person.  Absent a motion and good cause shown, the Court will not waive this requirement.  </w:t>
      </w:r>
    </w:p>
    <w:p w:rsidR="00A53AFC" w:rsidRPr="001D6410" w:rsidRDefault="00F0489A" w:rsidP="002423BB">
      <w:pPr>
        <w:widowControl w:val="0"/>
        <w:spacing w:line="480" w:lineRule="auto"/>
        <w:ind w:firstLine="720"/>
        <w:rPr>
          <w:rFonts w:ascii="Garamond" w:hAnsi="Garamond"/>
        </w:rPr>
      </w:pPr>
      <w:r w:rsidRPr="001D6410">
        <w:rPr>
          <w:rFonts w:ascii="Garamond" w:hAnsi="Garamond"/>
        </w:rPr>
        <w:t>A proposed Case Management Order is due no later than 42 days from today or at least 7 days prior to the Conference.</w:t>
      </w:r>
      <w:r w:rsidR="007C66E3" w:rsidRPr="001D6410">
        <w:rPr>
          <w:rFonts w:ascii="Garamond" w:hAnsi="Garamond"/>
        </w:rPr>
        <w:t xml:space="preserve">  Please use JDF 622.</w:t>
      </w:r>
    </w:p>
    <w:p w:rsidR="00F82626" w:rsidRPr="001D6410" w:rsidRDefault="00A53AFC" w:rsidP="002423BB">
      <w:pPr>
        <w:widowControl w:val="0"/>
        <w:spacing w:line="480" w:lineRule="auto"/>
        <w:ind w:firstLine="720"/>
        <w:rPr>
          <w:rFonts w:ascii="Garamond" w:hAnsi="Garamond"/>
        </w:rPr>
      </w:pPr>
      <w:r w:rsidRPr="001D6410">
        <w:rPr>
          <w:rFonts w:ascii="Garamond" w:hAnsi="Garamond"/>
        </w:rPr>
        <w:t xml:space="preserve">Regarding </w:t>
      </w:r>
      <w:r w:rsidR="00E1262A">
        <w:rPr>
          <w:rFonts w:ascii="Garamond" w:hAnsi="Garamond"/>
        </w:rPr>
        <w:t xml:space="preserve">¶ </w:t>
      </w:r>
      <w:r w:rsidRPr="001D6410">
        <w:rPr>
          <w:rFonts w:ascii="Garamond" w:hAnsi="Garamond"/>
        </w:rPr>
        <w:t xml:space="preserve">6, the Parties </w:t>
      </w:r>
      <w:r w:rsidRPr="001D6410">
        <w:rPr>
          <w:rFonts w:ascii="Garamond" w:hAnsi="Garamond"/>
          <w:b/>
        </w:rPr>
        <w:t>must</w:t>
      </w:r>
      <w:r w:rsidRPr="001D6410">
        <w:rPr>
          <w:rFonts w:ascii="Garamond" w:hAnsi="Garamond"/>
        </w:rPr>
        <w:t xml:space="preserve"> </w:t>
      </w:r>
      <w:r w:rsidR="00C73B48" w:rsidRPr="001D6410">
        <w:rPr>
          <w:rFonts w:ascii="Garamond" w:hAnsi="Garamond"/>
        </w:rPr>
        <w:t>address</w:t>
      </w:r>
      <w:r w:rsidRPr="001D6410">
        <w:rPr>
          <w:rFonts w:ascii="Garamond" w:hAnsi="Garamond"/>
        </w:rPr>
        <w:t xml:space="preserve">: 1) the </w:t>
      </w:r>
      <w:r w:rsidR="00C73B48" w:rsidRPr="001D6410">
        <w:rPr>
          <w:rFonts w:ascii="Garamond" w:hAnsi="Garamond"/>
        </w:rPr>
        <w:t>importance of the issues at stak</w:t>
      </w:r>
      <w:r w:rsidRPr="001D6410">
        <w:rPr>
          <w:rFonts w:ascii="Garamond" w:hAnsi="Garamond"/>
        </w:rPr>
        <w:t>e; 2) the amount in controversy; 3) the parties’ relative access to relevant information; 4)</w:t>
      </w:r>
      <w:r w:rsidR="00C73B48" w:rsidRPr="001D6410">
        <w:rPr>
          <w:rFonts w:ascii="Garamond" w:hAnsi="Garamond"/>
        </w:rPr>
        <w:t xml:space="preserve"> </w:t>
      </w:r>
      <w:r w:rsidRPr="001D6410">
        <w:rPr>
          <w:rFonts w:ascii="Garamond" w:hAnsi="Garamond"/>
        </w:rPr>
        <w:t xml:space="preserve">the parties’ resources; 5) the importance of the discovery in resolving the issues; and 6) whether the burden or expense of the proposed discovery outweighs the benefit.  </w:t>
      </w:r>
      <w:r w:rsidRPr="002423BB">
        <w:rPr>
          <w:rFonts w:ascii="Garamond" w:hAnsi="Garamond"/>
          <w:i/>
        </w:rPr>
        <w:t>See</w:t>
      </w:r>
      <w:r w:rsidRPr="001D6410">
        <w:rPr>
          <w:rFonts w:ascii="Garamond" w:hAnsi="Garamond"/>
        </w:rPr>
        <w:t xml:space="preserve"> </w:t>
      </w:r>
      <w:r w:rsidR="00E1262A">
        <w:rPr>
          <w:rFonts w:ascii="Garamond" w:hAnsi="Garamond"/>
        </w:rPr>
        <w:t>Colo. R. Civ. P.</w:t>
      </w:r>
      <w:r w:rsidR="00E1262A" w:rsidRPr="001D6410">
        <w:rPr>
          <w:rFonts w:ascii="Garamond" w:hAnsi="Garamond"/>
        </w:rPr>
        <w:t xml:space="preserve"> </w:t>
      </w:r>
      <w:r w:rsidRPr="001D6410">
        <w:rPr>
          <w:rFonts w:ascii="Garamond" w:hAnsi="Garamond"/>
        </w:rPr>
        <w:t xml:space="preserve">16(b)(6), </w:t>
      </w:r>
      <w:r w:rsidR="00E1262A">
        <w:rPr>
          <w:rFonts w:ascii="Garamond" w:hAnsi="Garamond"/>
        </w:rPr>
        <w:t xml:space="preserve">and </w:t>
      </w:r>
      <w:r w:rsidRPr="001D6410">
        <w:rPr>
          <w:rFonts w:ascii="Garamond" w:hAnsi="Garamond"/>
        </w:rPr>
        <w:t>26(b)(1).</w:t>
      </w:r>
    </w:p>
    <w:p w:rsidR="00343AC5" w:rsidRPr="001D6410" w:rsidRDefault="00A53AFC" w:rsidP="002423BB">
      <w:pPr>
        <w:widowControl w:val="0"/>
        <w:spacing w:line="480" w:lineRule="auto"/>
        <w:ind w:firstLine="720"/>
        <w:rPr>
          <w:rFonts w:ascii="Garamond" w:hAnsi="Garamond"/>
        </w:rPr>
      </w:pPr>
      <w:r w:rsidRPr="001D6410">
        <w:rPr>
          <w:rFonts w:ascii="Garamond" w:hAnsi="Garamond"/>
        </w:rPr>
        <w:t xml:space="preserve">Regarding </w:t>
      </w:r>
      <w:r w:rsidR="00E1262A">
        <w:rPr>
          <w:rFonts w:ascii="Garamond" w:hAnsi="Garamond"/>
        </w:rPr>
        <w:t xml:space="preserve">¶ </w:t>
      </w:r>
      <w:r w:rsidRPr="001D6410">
        <w:rPr>
          <w:rFonts w:ascii="Garamond" w:hAnsi="Garamond"/>
        </w:rPr>
        <w:t xml:space="preserve">7, the Parties </w:t>
      </w:r>
      <w:r w:rsidRPr="001D6410">
        <w:rPr>
          <w:rFonts w:ascii="Garamond" w:hAnsi="Garamond"/>
          <w:b/>
        </w:rPr>
        <w:t>must</w:t>
      </w:r>
      <w:r w:rsidRPr="001D6410">
        <w:rPr>
          <w:rFonts w:ascii="Garamond" w:hAnsi="Garamond"/>
        </w:rPr>
        <w:t xml:space="preserve"> </w:t>
      </w:r>
      <w:r w:rsidR="006A61C4" w:rsidRPr="001D6410">
        <w:rPr>
          <w:rFonts w:ascii="Garamond" w:hAnsi="Garamond"/>
        </w:rPr>
        <w:t>address</w:t>
      </w:r>
      <w:r w:rsidRPr="001D6410">
        <w:rPr>
          <w:rFonts w:ascii="Garamond" w:hAnsi="Garamond"/>
        </w:rPr>
        <w:t xml:space="preserve">: 1) </w:t>
      </w:r>
      <w:r w:rsidR="00823321" w:rsidRPr="001D6410">
        <w:rPr>
          <w:rFonts w:ascii="Garamond" w:hAnsi="Garamond"/>
        </w:rPr>
        <w:t xml:space="preserve">that settlement was discussed; 2) the prospects for settlements; and 3) list </w:t>
      </w:r>
      <w:r w:rsidR="008F401F" w:rsidRPr="001D6410">
        <w:rPr>
          <w:rFonts w:ascii="Garamond" w:hAnsi="Garamond"/>
        </w:rPr>
        <w:t xml:space="preserve">a </w:t>
      </w:r>
      <w:r w:rsidR="00823321" w:rsidRPr="001D6410">
        <w:rPr>
          <w:rFonts w:ascii="Garamond" w:hAnsi="Garamond"/>
        </w:rPr>
        <w:t>proposed d</w:t>
      </w:r>
      <w:r w:rsidR="008F401F" w:rsidRPr="001D6410">
        <w:rPr>
          <w:rFonts w:ascii="Garamond" w:hAnsi="Garamond"/>
        </w:rPr>
        <w:t>eadline</w:t>
      </w:r>
      <w:r w:rsidR="00823321" w:rsidRPr="001D6410">
        <w:rPr>
          <w:rFonts w:ascii="Garamond" w:hAnsi="Garamond"/>
        </w:rPr>
        <w:t xml:space="preserve"> for mediation or </w:t>
      </w:r>
      <w:proofErr w:type="gramStart"/>
      <w:r w:rsidR="00823321" w:rsidRPr="001D6410">
        <w:rPr>
          <w:rFonts w:ascii="Garamond" w:hAnsi="Garamond"/>
        </w:rPr>
        <w:t>other</w:t>
      </w:r>
      <w:proofErr w:type="gramEnd"/>
      <w:r w:rsidR="00823321" w:rsidRPr="001D6410">
        <w:rPr>
          <w:rFonts w:ascii="Garamond" w:hAnsi="Garamond"/>
        </w:rPr>
        <w:t xml:space="preserve"> alternative dispute resolution.</w:t>
      </w:r>
    </w:p>
    <w:p w:rsidR="000A7457" w:rsidRDefault="00343AC5" w:rsidP="002423BB">
      <w:pPr>
        <w:widowControl w:val="0"/>
        <w:spacing w:line="480" w:lineRule="auto"/>
        <w:ind w:firstLine="720"/>
        <w:rPr>
          <w:rFonts w:ascii="Garamond" w:hAnsi="Garamond"/>
        </w:rPr>
      </w:pPr>
      <w:r w:rsidRPr="001D6410">
        <w:rPr>
          <w:rFonts w:ascii="Garamond" w:hAnsi="Garamond"/>
        </w:rPr>
        <w:t xml:space="preserve">For most case types, the Court does not set a trial date until after alternative dispute resolution has been completed.  The Parties may request that ADR be waived or that the case be set </w:t>
      </w:r>
      <w:r w:rsidRPr="001D6410">
        <w:rPr>
          <w:rFonts w:ascii="Garamond" w:hAnsi="Garamond"/>
        </w:rPr>
        <w:lastRenderedPageBreak/>
        <w:t xml:space="preserve">for trial </w:t>
      </w:r>
      <w:r w:rsidR="007D4D98" w:rsidRPr="001D6410">
        <w:rPr>
          <w:rFonts w:ascii="Garamond" w:hAnsi="Garamond"/>
        </w:rPr>
        <w:t xml:space="preserve">prior to ADR </w:t>
      </w:r>
      <w:r w:rsidRPr="001D6410">
        <w:rPr>
          <w:rFonts w:ascii="Garamond" w:hAnsi="Garamond"/>
        </w:rPr>
        <w:t xml:space="preserve">because of the specific needs of their case; however, </w:t>
      </w:r>
      <w:r w:rsidR="003C5571" w:rsidRPr="001D6410">
        <w:rPr>
          <w:rFonts w:ascii="Garamond" w:hAnsi="Garamond"/>
        </w:rPr>
        <w:t>good cause must be shown for the request</w:t>
      </w:r>
      <w:r w:rsidR="007D4D98" w:rsidRPr="001D6410">
        <w:rPr>
          <w:rFonts w:ascii="Garamond" w:hAnsi="Garamond"/>
        </w:rPr>
        <w:t>.</w:t>
      </w:r>
      <w:r w:rsidR="00ED26F7" w:rsidRPr="001D6410">
        <w:rPr>
          <w:rFonts w:ascii="Garamond" w:hAnsi="Garamond"/>
        </w:rPr>
        <w:t xml:space="preserve">  Please use actual calendar dates for deadlines as trial will not be set.</w:t>
      </w:r>
    </w:p>
    <w:p w:rsidR="000A7457" w:rsidRDefault="00DE2133" w:rsidP="002423BB">
      <w:pPr>
        <w:widowControl w:val="0"/>
        <w:spacing w:line="480" w:lineRule="auto"/>
        <w:ind w:firstLine="720"/>
        <w:rPr>
          <w:rFonts w:ascii="Garamond" w:hAnsi="Garamond"/>
        </w:rPr>
      </w:pPr>
      <w:r w:rsidRPr="001D6410">
        <w:rPr>
          <w:rFonts w:ascii="Garamond" w:hAnsi="Garamond"/>
        </w:rPr>
        <w:t>Regarding paragraph #14</w:t>
      </w:r>
      <w:r w:rsidR="00823321" w:rsidRPr="001D6410">
        <w:rPr>
          <w:rFonts w:ascii="Garamond" w:hAnsi="Garamond"/>
        </w:rPr>
        <w:t xml:space="preserve"> of JDF 622, </w:t>
      </w:r>
      <w:r w:rsidR="00E1262A">
        <w:rPr>
          <w:rFonts w:ascii="Garamond" w:hAnsi="Garamond"/>
        </w:rPr>
        <w:t>t</w:t>
      </w:r>
      <w:r w:rsidR="00277C4E" w:rsidRPr="00277C4E">
        <w:rPr>
          <w:rFonts w:ascii="Garamond" w:hAnsi="Garamond"/>
        </w:rPr>
        <w:t xml:space="preserve">he </w:t>
      </w:r>
      <w:r w:rsidR="00E1262A">
        <w:rPr>
          <w:rFonts w:ascii="Garamond" w:hAnsi="Garamond"/>
        </w:rPr>
        <w:t>Court</w:t>
      </w:r>
      <w:r w:rsidR="00277C4E" w:rsidRPr="00277C4E">
        <w:rPr>
          <w:rFonts w:ascii="Garamond" w:hAnsi="Garamond"/>
        </w:rPr>
        <w:t xml:space="preserve"> require</w:t>
      </w:r>
      <w:r w:rsidR="00E1262A">
        <w:rPr>
          <w:rFonts w:ascii="Garamond" w:hAnsi="Garamond"/>
        </w:rPr>
        <w:t>s</w:t>
      </w:r>
      <w:r w:rsidR="00277C4E" w:rsidRPr="00277C4E">
        <w:rPr>
          <w:rFonts w:ascii="Garamond" w:hAnsi="Garamond"/>
        </w:rPr>
        <w:t xml:space="preserve"> discovery motions to be presented</w:t>
      </w:r>
      <w:r w:rsidR="00736DB7">
        <w:rPr>
          <w:rFonts w:ascii="Garamond" w:hAnsi="Garamond"/>
        </w:rPr>
        <w:t xml:space="preserve">, </w:t>
      </w:r>
      <w:r w:rsidR="00277C4E" w:rsidRPr="00277C4E">
        <w:rPr>
          <w:rFonts w:ascii="Garamond" w:hAnsi="Garamond"/>
        </w:rPr>
        <w:t xml:space="preserve">orally, without written motions or briefs. </w:t>
      </w:r>
      <w:r w:rsidR="00277C4E">
        <w:rPr>
          <w:rFonts w:ascii="Garamond" w:hAnsi="Garamond"/>
        </w:rPr>
        <w:t>T</w:t>
      </w:r>
      <w:r w:rsidR="000A7457" w:rsidRPr="000A7457">
        <w:rPr>
          <w:rFonts w:ascii="Garamond" w:hAnsi="Garamond"/>
        </w:rPr>
        <w:t xml:space="preserve">he proposed case management order should include a provision that no written discovery motions will be accepted.  If there is a discovery dispute, counsel must confer in a meaningful way </w:t>
      </w:r>
      <w:r w:rsidR="00E1262A">
        <w:rPr>
          <w:rFonts w:ascii="Garamond" w:hAnsi="Garamond"/>
        </w:rPr>
        <w:t xml:space="preserve">in writing, and by </w:t>
      </w:r>
      <w:r w:rsidR="000A7457" w:rsidRPr="000A7457">
        <w:rPr>
          <w:rFonts w:ascii="Garamond" w:hAnsi="Garamond"/>
        </w:rPr>
        <w:t xml:space="preserve">telephone or in person to try to resolve it.  An exchange of emails is not sufficient.  If counsel cannot resolve the dispute, the Court will address all discovery disputes with an </w:t>
      </w:r>
      <w:r w:rsidR="000A7457" w:rsidRPr="000A7457">
        <w:rPr>
          <w:rFonts w:ascii="Garamond" w:hAnsi="Garamond"/>
          <w:b/>
        </w:rPr>
        <w:t>in-person</w:t>
      </w:r>
      <w:r w:rsidR="000A7457" w:rsidRPr="000A7457">
        <w:rPr>
          <w:rFonts w:ascii="Garamond" w:hAnsi="Garamond"/>
        </w:rPr>
        <w:t xml:space="preserve"> discovery</w:t>
      </w:r>
      <w:r w:rsidR="00736DB7">
        <w:rPr>
          <w:rFonts w:ascii="Garamond" w:hAnsi="Garamond"/>
        </w:rPr>
        <w:t xml:space="preserve"> hearing.</w:t>
      </w:r>
      <w:r w:rsidR="000A7457" w:rsidRPr="000A7457">
        <w:rPr>
          <w:rFonts w:ascii="Garamond" w:hAnsi="Garamond"/>
        </w:rPr>
        <w:t xml:space="preserve">  The parties are directed to contact the Court’s </w:t>
      </w:r>
      <w:r w:rsidR="000A7457">
        <w:rPr>
          <w:rFonts w:ascii="Garamond" w:hAnsi="Garamond"/>
        </w:rPr>
        <w:t>Division</w:t>
      </w:r>
      <w:r w:rsidR="000A7457" w:rsidRPr="000A7457">
        <w:rPr>
          <w:rFonts w:ascii="Garamond" w:hAnsi="Garamond"/>
        </w:rPr>
        <w:t xml:space="preserve"> Clerk, </w:t>
      </w:r>
      <w:r w:rsidR="000A7457">
        <w:rPr>
          <w:rFonts w:ascii="Garamond" w:hAnsi="Garamond"/>
        </w:rPr>
        <w:t>Jessica Wichman</w:t>
      </w:r>
      <w:r w:rsidR="000A7457" w:rsidRPr="000A7457">
        <w:rPr>
          <w:rFonts w:ascii="Garamond" w:hAnsi="Garamond"/>
        </w:rPr>
        <w:t xml:space="preserve">, at the number above, if they wish to set a discovery hearing. </w:t>
      </w:r>
    </w:p>
    <w:p w:rsidR="00FB6E91" w:rsidRPr="001D6410" w:rsidRDefault="00FB6E91" w:rsidP="00FB6E91">
      <w:pPr>
        <w:widowControl w:val="0"/>
        <w:spacing w:line="480" w:lineRule="auto"/>
        <w:rPr>
          <w:rFonts w:ascii="Garamond" w:hAnsi="Garamond"/>
        </w:rPr>
      </w:pPr>
      <w:r>
        <w:rPr>
          <w:rFonts w:ascii="Garamond" w:hAnsi="Garamond"/>
        </w:rPr>
        <w:tab/>
      </w:r>
      <w:bookmarkStart w:id="0" w:name="_Hlk527705037"/>
      <w:r>
        <w:rPr>
          <w:rFonts w:ascii="Garamond" w:hAnsi="Garamond"/>
        </w:rPr>
        <w:t>With respect to depositions, the Court will not intervene in an ongoing deposition via telephone to resolve disputes</w:t>
      </w:r>
      <w:r w:rsidRPr="00415E9C">
        <w:rPr>
          <w:rFonts w:ascii="Garamond" w:hAnsi="Garamond"/>
        </w:rPr>
        <w:t xml:space="preserve">; rather, counsel shall </w:t>
      </w:r>
      <w:r>
        <w:rPr>
          <w:rFonts w:ascii="Garamond" w:hAnsi="Garamond"/>
        </w:rPr>
        <w:t>resolve such disputes in the same manner described above for discovery disputes</w:t>
      </w:r>
      <w:r w:rsidRPr="00415E9C">
        <w:rPr>
          <w:rFonts w:ascii="Garamond" w:hAnsi="Garamond"/>
        </w:rPr>
        <w:t xml:space="preserve">. Counsel are expected to adhere strictly to </w:t>
      </w:r>
      <w:r w:rsidR="00B95AF4">
        <w:rPr>
          <w:rFonts w:ascii="Garamond" w:hAnsi="Garamond"/>
        </w:rPr>
        <w:t>Colo. R. Civ. P.</w:t>
      </w:r>
      <w:r w:rsidRPr="00415E9C">
        <w:rPr>
          <w:rFonts w:ascii="Garamond" w:hAnsi="Garamond"/>
        </w:rPr>
        <w:t xml:space="preserve"> 30(d)(1) and (3) and shall refrain from “speaking objections,” excessive objections designed to disrupt the flow of questioning, advising a witness to </w:t>
      </w:r>
      <w:proofErr w:type="gramStart"/>
      <w:r w:rsidRPr="00415E9C">
        <w:rPr>
          <w:rFonts w:ascii="Garamond" w:hAnsi="Garamond"/>
        </w:rPr>
        <w:t>answer</w:t>
      </w:r>
      <w:proofErr w:type="gramEnd"/>
      <w:r w:rsidRPr="00415E9C">
        <w:rPr>
          <w:rFonts w:ascii="Garamond" w:hAnsi="Garamond"/>
        </w:rPr>
        <w:t xml:space="preserve"> “if you know” or “if you remember” or “not to speculate,” asking for clarification of a question, or conferring with a witness while questions are pending or documents are being reviewed unless authorized under </w:t>
      </w:r>
      <w:r w:rsidR="00B95AF4">
        <w:rPr>
          <w:rFonts w:ascii="Garamond" w:hAnsi="Garamond"/>
        </w:rPr>
        <w:t>Colo. R. Civ. P.</w:t>
      </w:r>
      <w:r w:rsidRPr="00415E9C">
        <w:rPr>
          <w:rFonts w:ascii="Garamond" w:hAnsi="Garamond"/>
        </w:rPr>
        <w:t xml:space="preserve"> 30(d)</w:t>
      </w:r>
      <w:r>
        <w:rPr>
          <w:rFonts w:ascii="Garamond" w:hAnsi="Garamond"/>
        </w:rPr>
        <w:t xml:space="preserve">.   </w:t>
      </w:r>
    </w:p>
    <w:bookmarkEnd w:id="0"/>
    <w:p w:rsidR="00277C4E" w:rsidRPr="00277C4E" w:rsidRDefault="00277C4E" w:rsidP="002423BB">
      <w:pPr>
        <w:widowControl w:val="0"/>
        <w:spacing w:line="480" w:lineRule="auto"/>
        <w:ind w:firstLine="720"/>
        <w:rPr>
          <w:rFonts w:ascii="Garamond" w:hAnsi="Garamond"/>
        </w:rPr>
      </w:pPr>
      <w:r w:rsidRPr="00277C4E">
        <w:rPr>
          <w:rFonts w:ascii="Garamond" w:hAnsi="Garamond"/>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shall within 14 days seek clarification of the meaning from counsel who served the discovery. Failure to do so results in waiver of any objection </w:t>
      </w:r>
      <w:r w:rsidRPr="00277C4E">
        <w:rPr>
          <w:rFonts w:ascii="Garamond" w:hAnsi="Garamond"/>
        </w:rPr>
        <w:lastRenderedPageBreak/>
        <w:t xml:space="preserve">based on the purported lack of understanding. Any response which does not provide the information or requested material but promises to do so in the future will be treated the same as no response unless the responding party provides a specific reason for not producing the information and a specific date when it will produce it. </w:t>
      </w:r>
    </w:p>
    <w:p w:rsidR="00343AC5" w:rsidRDefault="00277C4E" w:rsidP="002423BB">
      <w:pPr>
        <w:widowControl w:val="0"/>
        <w:spacing w:line="480" w:lineRule="auto"/>
        <w:rPr>
          <w:rFonts w:ascii="Garamond" w:hAnsi="Garamond"/>
        </w:rPr>
      </w:pPr>
      <w:r w:rsidRPr="00277C4E">
        <w:rPr>
          <w:rFonts w:ascii="Garamond" w:hAnsi="Garamond"/>
        </w:rPr>
        <w:tab/>
        <w:t xml:space="preserve">If a dispute about written discovery (requests for production, interrogatories, etc.) is not resolved, the moving party must complete the written discovery dispute chart in the form attached hereto as Appendix A, with the most persuasive authority included. The moving party must send the chart, the disputed discovery requests, the disputed responses to opposing counsel, and the parties’ conferral correspondence or emails to the Court’s </w:t>
      </w:r>
      <w:r>
        <w:rPr>
          <w:rFonts w:ascii="Garamond" w:hAnsi="Garamond"/>
        </w:rPr>
        <w:t>Division</w:t>
      </w:r>
      <w:r w:rsidRPr="00277C4E">
        <w:rPr>
          <w:rFonts w:ascii="Garamond" w:hAnsi="Garamond"/>
        </w:rPr>
        <w:t xml:space="preserve"> Clerk, </w:t>
      </w:r>
      <w:r>
        <w:rPr>
          <w:rFonts w:ascii="Garamond" w:hAnsi="Garamond"/>
        </w:rPr>
        <w:t>Jessica Wichman</w:t>
      </w:r>
      <w:r w:rsidRPr="00277C4E">
        <w:rPr>
          <w:rFonts w:ascii="Garamond" w:hAnsi="Garamond"/>
        </w:rPr>
        <w:t xml:space="preserve"> at </w:t>
      </w:r>
      <w:r>
        <w:rPr>
          <w:rFonts w:ascii="Garamond" w:hAnsi="Garamond"/>
        </w:rPr>
        <w:t>Jessica.Wichman</w:t>
      </w:r>
      <w:r w:rsidRPr="00277C4E">
        <w:rPr>
          <w:rFonts w:ascii="Garamond" w:hAnsi="Garamond"/>
        </w:rPr>
        <w:t>@judicial.state.co.us. The parties are further directed to contact the Court’s Clerk at the number above if they wish to set a hearing on the dispute.</w:t>
      </w:r>
    </w:p>
    <w:p w:rsidR="00B95AF4" w:rsidRPr="001D6410" w:rsidRDefault="00FB6E91" w:rsidP="002423BB">
      <w:pPr>
        <w:widowControl w:val="0"/>
        <w:spacing w:line="480" w:lineRule="auto"/>
        <w:rPr>
          <w:rFonts w:ascii="Garamond" w:hAnsi="Garamond"/>
        </w:rPr>
      </w:pPr>
      <w:bookmarkStart w:id="1" w:name="_Hlk527705062"/>
      <w:r>
        <w:rPr>
          <w:rFonts w:ascii="Garamond" w:hAnsi="Garamond"/>
        </w:rPr>
        <w:tab/>
      </w:r>
      <w:r w:rsidR="00B95AF4">
        <w:rPr>
          <w:rFonts w:ascii="Garamond" w:hAnsi="Garamond"/>
        </w:rPr>
        <w:t>Parties shall resolve disputes regarding subpoenas in the same manner as set forth above for written discovery.</w:t>
      </w:r>
    </w:p>
    <w:bookmarkEnd w:id="1"/>
    <w:p w:rsidR="00CD0788" w:rsidRPr="001D6410" w:rsidRDefault="00CD0788" w:rsidP="002423BB">
      <w:pPr>
        <w:widowControl w:val="0"/>
        <w:spacing w:line="480" w:lineRule="auto"/>
        <w:ind w:firstLine="720"/>
        <w:rPr>
          <w:rFonts w:ascii="Garamond" w:hAnsi="Garamond"/>
        </w:rPr>
      </w:pPr>
      <w:r w:rsidRPr="001D6410">
        <w:rPr>
          <w:rFonts w:ascii="Garamond" w:hAnsi="Garamond"/>
        </w:rPr>
        <w:t>At any time during the pendency of the case, any party may request additional case management conferences including brief telephonic conferences if needed.</w:t>
      </w:r>
    </w:p>
    <w:p w:rsidR="00B4331F" w:rsidRPr="001D6410" w:rsidRDefault="00343AC5" w:rsidP="002423BB">
      <w:pPr>
        <w:widowControl w:val="0"/>
        <w:spacing w:line="480" w:lineRule="auto"/>
        <w:ind w:firstLine="720"/>
        <w:rPr>
          <w:rFonts w:ascii="Garamond" w:hAnsi="Garamond"/>
        </w:rPr>
      </w:pPr>
      <w:r w:rsidRPr="001D6410">
        <w:rPr>
          <w:rFonts w:ascii="Garamond" w:hAnsi="Garamond"/>
        </w:rPr>
        <w:t xml:space="preserve">The Court </w:t>
      </w:r>
      <w:r w:rsidR="006A61C4" w:rsidRPr="001D6410">
        <w:rPr>
          <w:rFonts w:ascii="Garamond" w:hAnsi="Garamond"/>
        </w:rPr>
        <w:t>orders</w:t>
      </w:r>
      <w:r w:rsidRPr="001D6410">
        <w:rPr>
          <w:rFonts w:ascii="Garamond" w:hAnsi="Garamond"/>
        </w:rPr>
        <w:t xml:space="preserve"> discovery to commence </w:t>
      </w:r>
      <w:r w:rsidRPr="001D6410">
        <w:rPr>
          <w:rFonts w:ascii="Garamond" w:hAnsi="Garamond"/>
          <w:u w:val="single"/>
        </w:rPr>
        <w:t>immediately</w:t>
      </w:r>
      <w:r w:rsidRPr="001D6410">
        <w:rPr>
          <w:rFonts w:ascii="Garamond" w:hAnsi="Garamond"/>
        </w:rPr>
        <w:t xml:space="preserve">.  </w:t>
      </w:r>
    </w:p>
    <w:p w:rsidR="003C5571" w:rsidRPr="001D6410" w:rsidRDefault="003C5571" w:rsidP="002423BB">
      <w:pPr>
        <w:widowControl w:val="0"/>
        <w:spacing w:line="480" w:lineRule="auto"/>
        <w:ind w:firstLine="720"/>
        <w:rPr>
          <w:rFonts w:ascii="Garamond" w:hAnsi="Garamond"/>
        </w:rPr>
      </w:pPr>
      <w:r w:rsidRPr="001D6410">
        <w:rPr>
          <w:rFonts w:ascii="Garamond" w:hAnsi="Garamond"/>
        </w:rPr>
        <w:t xml:space="preserve">Please note the 2015 Comment to </w:t>
      </w:r>
      <w:r w:rsidR="00E1262A">
        <w:rPr>
          <w:rFonts w:ascii="Garamond" w:hAnsi="Garamond"/>
        </w:rPr>
        <w:t>Colo. R. Civ. P.</w:t>
      </w:r>
      <w:r w:rsidR="00E1262A" w:rsidRPr="001D6410">
        <w:rPr>
          <w:rFonts w:ascii="Garamond" w:hAnsi="Garamond"/>
        </w:rPr>
        <w:t xml:space="preserve"> </w:t>
      </w:r>
      <w:r w:rsidRPr="001D6410">
        <w:rPr>
          <w:rFonts w:ascii="Garamond" w:hAnsi="Garamond"/>
        </w:rPr>
        <w:t xml:space="preserve">12: “The practice of pleading every affirmative defense listed in Rule 8(c), irrespective of a factual basis for the defense, is improper under </w:t>
      </w:r>
      <w:r w:rsidR="00C17701">
        <w:rPr>
          <w:rFonts w:ascii="Garamond" w:hAnsi="Garamond"/>
        </w:rPr>
        <w:t>[</w:t>
      </w:r>
      <w:r w:rsidR="00E1262A">
        <w:rPr>
          <w:rFonts w:ascii="Garamond" w:hAnsi="Garamond"/>
        </w:rPr>
        <w:t>Colo. R. Civ. P.</w:t>
      </w:r>
      <w:r w:rsidR="00C17701">
        <w:rPr>
          <w:rFonts w:ascii="Garamond" w:hAnsi="Garamond"/>
        </w:rPr>
        <w:t>]</w:t>
      </w:r>
      <w:r w:rsidR="00E1262A" w:rsidRPr="001D6410">
        <w:rPr>
          <w:rFonts w:ascii="Garamond" w:hAnsi="Garamond"/>
        </w:rPr>
        <w:t xml:space="preserve"> </w:t>
      </w:r>
      <w:r w:rsidRPr="001D6410">
        <w:rPr>
          <w:rFonts w:ascii="Garamond" w:hAnsi="Garamond"/>
        </w:rPr>
        <w:t>11(a)</w:t>
      </w:r>
      <w:proofErr w:type="gramStart"/>
      <w:r w:rsidRPr="001D6410">
        <w:rPr>
          <w:rFonts w:ascii="Garamond" w:hAnsi="Garamond"/>
        </w:rPr>
        <w:t>. . . .</w:t>
      </w:r>
      <w:proofErr w:type="gramEnd"/>
      <w:r w:rsidRPr="001D6410">
        <w:rPr>
          <w:rFonts w:ascii="Garamond" w:hAnsi="Garamond"/>
        </w:rPr>
        <w:t xml:space="preserve">”  To the extent that </w:t>
      </w:r>
      <w:r w:rsidR="00C25496">
        <w:rPr>
          <w:rFonts w:ascii="Garamond" w:hAnsi="Garamond"/>
        </w:rPr>
        <w:t>Colo. R. Civ. P.</w:t>
      </w:r>
      <w:r w:rsidR="00C25496" w:rsidRPr="001D6410">
        <w:rPr>
          <w:rFonts w:ascii="Garamond" w:hAnsi="Garamond"/>
        </w:rPr>
        <w:t xml:space="preserve"> </w:t>
      </w:r>
      <w:r w:rsidRPr="001D6410">
        <w:rPr>
          <w:rFonts w:ascii="Garamond" w:hAnsi="Garamond"/>
        </w:rPr>
        <w:t>12 was not followed in this case, any affirmative defenses must be re-pled</w:t>
      </w:r>
      <w:r w:rsidR="00B0732F" w:rsidRPr="001D6410">
        <w:rPr>
          <w:rFonts w:ascii="Garamond" w:hAnsi="Garamond"/>
        </w:rPr>
        <w:t xml:space="preserve"> with a factual basis</w:t>
      </w:r>
      <w:r w:rsidRPr="001D6410">
        <w:rPr>
          <w:rFonts w:ascii="Garamond" w:hAnsi="Garamond"/>
        </w:rPr>
        <w:t xml:space="preserve">. </w:t>
      </w:r>
    </w:p>
    <w:p w:rsidR="00EC5061" w:rsidRPr="001D6410" w:rsidRDefault="003C5571" w:rsidP="002F44CC">
      <w:pPr>
        <w:widowControl w:val="0"/>
        <w:spacing w:line="480" w:lineRule="auto"/>
        <w:ind w:firstLine="720"/>
        <w:rPr>
          <w:rFonts w:ascii="Garamond" w:hAnsi="Garamond"/>
        </w:rPr>
      </w:pPr>
      <w:r w:rsidRPr="001D6410">
        <w:rPr>
          <w:rFonts w:ascii="Garamond" w:hAnsi="Garamond"/>
        </w:rPr>
        <w:t xml:space="preserve">If the parties settle the case after trial has been set, the Court will not vacate the trial until the parties have filed a stipulation to dismiss the case with prejudice.  Parties must seek a Court order to modify any deadline or order.  </w:t>
      </w:r>
      <w:r w:rsidR="00C17701">
        <w:rPr>
          <w:rFonts w:ascii="Garamond" w:hAnsi="Garamond"/>
        </w:rPr>
        <w:t>A</w:t>
      </w:r>
      <w:r w:rsidRPr="001D6410">
        <w:rPr>
          <w:rFonts w:ascii="Garamond" w:hAnsi="Garamond"/>
        </w:rPr>
        <w:t xml:space="preserve"> stipulation</w:t>
      </w:r>
      <w:r w:rsidR="00C17701">
        <w:rPr>
          <w:rFonts w:ascii="Garamond" w:hAnsi="Garamond"/>
        </w:rPr>
        <w:t xml:space="preserve"> is</w:t>
      </w:r>
      <w:r w:rsidRPr="001D6410">
        <w:rPr>
          <w:rFonts w:ascii="Garamond" w:hAnsi="Garamond"/>
        </w:rPr>
        <w:t xml:space="preserve"> not binding on the Court.</w:t>
      </w:r>
    </w:p>
    <w:p w:rsidR="00277C4E" w:rsidRDefault="00277C4E" w:rsidP="002F44CC">
      <w:pPr>
        <w:widowControl w:val="0"/>
        <w:ind w:left="5040" w:firstLine="720"/>
        <w:jc w:val="both"/>
        <w:rPr>
          <w:rFonts w:ascii="Garamond" w:hAnsi="Garamond"/>
        </w:rPr>
        <w:sectPr w:rsidR="00277C4E" w:rsidSect="007C6856">
          <w:headerReference w:type="default" r:id="rId7"/>
          <w:footerReference w:type="default" r:id="rId8"/>
          <w:headerReference w:type="first" r:id="rId9"/>
          <w:pgSz w:w="12240" w:h="15840"/>
          <w:pgMar w:top="1440" w:right="1440" w:bottom="1440" w:left="1440" w:header="720" w:footer="720" w:gutter="0"/>
          <w:cols w:space="720"/>
          <w:docGrid w:linePitch="326"/>
        </w:sectPr>
      </w:pPr>
      <w:bookmarkStart w:id="2" w:name="_GoBack"/>
      <w:bookmarkEnd w:id="2"/>
    </w:p>
    <w:p w:rsidR="00277C4E" w:rsidRPr="0057025D" w:rsidRDefault="00277C4E" w:rsidP="00277C4E">
      <w:pPr>
        <w:widowControl w:val="0"/>
        <w:jc w:val="center"/>
        <w:rPr>
          <w:rFonts w:ascii="Garamond" w:hAnsi="Garamond"/>
          <w:b/>
        </w:rPr>
      </w:pPr>
      <w:r w:rsidRPr="0057025D">
        <w:rPr>
          <w:rFonts w:ascii="Garamond" w:hAnsi="Garamond"/>
          <w:b/>
        </w:rPr>
        <w:lastRenderedPageBreak/>
        <w:t>Appendix A</w:t>
      </w:r>
    </w:p>
    <w:p w:rsidR="00277C4E" w:rsidRPr="0057025D" w:rsidRDefault="00277C4E" w:rsidP="00277C4E">
      <w:pPr>
        <w:widowControl w:val="0"/>
        <w:jc w:val="center"/>
        <w:rPr>
          <w:rFonts w:ascii="Garamond" w:hAnsi="Garamond"/>
          <w:b/>
        </w:rPr>
      </w:pPr>
      <w:r w:rsidRPr="0057025D">
        <w:rPr>
          <w:rFonts w:ascii="Garamond" w:hAnsi="Garamond"/>
          <w:b/>
        </w:rPr>
        <w:fldChar w:fldCharType="begin"/>
      </w:r>
      <w:r w:rsidRPr="0057025D">
        <w:rPr>
          <w:rFonts w:ascii="Garamond" w:hAnsi="Garamond"/>
          <w:b/>
        </w:rPr>
        <w:instrText xml:space="preserve"> SEQ CHAPTER \h \r 1</w:instrText>
      </w:r>
      <w:r w:rsidRPr="0057025D">
        <w:rPr>
          <w:rFonts w:ascii="Garamond" w:hAnsi="Garamond"/>
          <w:b/>
        </w:rPr>
        <w:fldChar w:fldCharType="end"/>
      </w:r>
      <w:r w:rsidRPr="0057025D">
        <w:rPr>
          <w:rFonts w:ascii="Garamond" w:hAnsi="Garamond"/>
          <w:b/>
        </w:rPr>
        <w:t>Sample Written Discovery Dispute Chart</w:t>
      </w:r>
      <w:r w:rsidRPr="0057025D">
        <w:rPr>
          <w:rFonts w:ascii="Garamond" w:hAnsi="Garamond"/>
          <w:b/>
          <w:vertAlign w:val="superscript"/>
        </w:rPr>
        <w:footnoteReference w:id="1"/>
      </w:r>
    </w:p>
    <w:p w:rsidR="00277C4E" w:rsidRPr="0057025D" w:rsidRDefault="00277C4E" w:rsidP="00277C4E">
      <w:pPr>
        <w:widowControl w:val="0"/>
        <w:jc w:val="center"/>
        <w:rPr>
          <w:rFonts w:ascii="Garamond" w:hAnsi="Garamond"/>
          <w:b/>
        </w:rPr>
      </w:pPr>
      <w:r w:rsidRPr="0057025D">
        <w:rPr>
          <w:rFonts w:ascii="Garamond" w:hAnsi="Garamond"/>
          <w:b/>
        </w:rPr>
        <w:t>Submitted by (Plaintiff/Defendant)</w:t>
      </w:r>
    </w:p>
    <w:p w:rsidR="00277C4E" w:rsidRPr="0057025D" w:rsidRDefault="00277C4E" w:rsidP="00277C4E">
      <w:pPr>
        <w:widowControl w:val="0"/>
        <w:jc w:val="center"/>
        <w:rPr>
          <w:rFonts w:ascii="Garamond" w:hAnsi="Garamond"/>
          <w:b/>
        </w:rPr>
      </w:pPr>
      <w:r w:rsidRPr="0057025D">
        <w:rPr>
          <w:rFonts w:ascii="Garamond" w:hAnsi="Garamond"/>
          <w:b/>
        </w:rPr>
        <w:t>Case No: 00-cv-00001</w:t>
      </w:r>
    </w:p>
    <w:p w:rsidR="00277C4E" w:rsidRPr="0057025D" w:rsidRDefault="00277C4E" w:rsidP="00277C4E">
      <w:pPr>
        <w:widowControl w:val="0"/>
        <w:jc w:val="center"/>
        <w:rPr>
          <w:rFonts w:ascii="Garamond" w:hAnsi="Garamond"/>
        </w:rPr>
      </w:pPr>
    </w:p>
    <w:p w:rsidR="00277C4E" w:rsidRPr="0057025D" w:rsidRDefault="00277C4E" w:rsidP="00277C4E">
      <w:pPr>
        <w:widowControl w:val="0"/>
        <w:jc w:val="center"/>
        <w:rPr>
          <w:rFonts w:ascii="Garamond" w:hAnsi="Garamond"/>
        </w:rPr>
      </w:pPr>
    </w:p>
    <w:p w:rsidR="00277C4E" w:rsidRPr="0057025D" w:rsidRDefault="00277C4E" w:rsidP="00277C4E">
      <w:pPr>
        <w:widowControl w:val="0"/>
        <w:jc w:val="center"/>
        <w:rPr>
          <w:rFonts w:ascii="Garamond" w:hAnsi="Garamond"/>
        </w:rPr>
      </w:pPr>
    </w:p>
    <w:p w:rsidR="00277C4E" w:rsidRPr="0057025D" w:rsidRDefault="00277C4E" w:rsidP="00277C4E">
      <w:pPr>
        <w:widowControl w:val="0"/>
        <w:jc w:val="center"/>
        <w:rPr>
          <w:rFonts w:ascii="Garamond" w:hAnsi="Garamond"/>
        </w:rPr>
      </w:pPr>
    </w:p>
    <w:p w:rsidR="00277C4E" w:rsidRPr="0057025D" w:rsidRDefault="00277C4E" w:rsidP="00277C4E">
      <w:pPr>
        <w:widowControl w:val="0"/>
        <w:jc w:val="center"/>
        <w:rPr>
          <w:rFonts w:ascii="Garamond" w:hAnsi="Garamond"/>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277C4E" w:rsidRPr="00283AF9" w:rsidTr="00705915">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jc w:val="center"/>
              <w:rPr>
                <w:rFonts w:ascii="Garamond" w:hAnsi="Garamond"/>
              </w:rPr>
            </w:pPr>
            <w:r w:rsidRPr="0057025D">
              <w:rPr>
                <w:rFonts w:ascii="Garamond" w:hAnsi="Garamond"/>
              </w:rPr>
              <w:t>No./Type of Discovery Request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jc w:val="center"/>
              <w:rPr>
                <w:rFonts w:ascii="Garamond" w:hAnsi="Garamond"/>
              </w:rPr>
            </w:pPr>
            <w:r w:rsidRPr="0057025D">
              <w:rPr>
                <w:rFonts w:ascii="Garamond" w:hAnsi="Garamond"/>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jc w:val="center"/>
              <w:rPr>
                <w:rFonts w:ascii="Garamond" w:hAnsi="Garamond"/>
              </w:rPr>
            </w:pPr>
            <w:r w:rsidRPr="0057025D">
              <w:rPr>
                <w:rFonts w:ascii="Garamond" w:hAnsi="Garamond"/>
              </w:rPr>
              <w:t xml:space="preserve">Problem </w:t>
            </w:r>
            <w:proofErr w:type="gramStart"/>
            <w:r w:rsidRPr="0057025D">
              <w:rPr>
                <w:rFonts w:ascii="Garamond" w:hAnsi="Garamond"/>
              </w:rPr>
              <w:t>With</w:t>
            </w:r>
            <w:proofErr w:type="gramEnd"/>
            <w:r w:rsidRPr="0057025D">
              <w:rPr>
                <w:rFonts w:ascii="Garamond" w:hAnsi="Garamond"/>
              </w:rPr>
              <w:t xml:space="preserve"> Response</w:t>
            </w:r>
          </w:p>
        </w:tc>
      </w:tr>
      <w:tr w:rsidR="00277C4E" w:rsidRPr="00283AF9" w:rsidTr="00705915">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rPr>
                <w:rFonts w:ascii="Garamond" w:hAnsi="Garamond"/>
              </w:rPr>
            </w:pPr>
            <w:r w:rsidRPr="0057025D">
              <w:rPr>
                <w:rFonts w:ascii="Garamond" w:hAnsi="Garamond"/>
              </w:rPr>
              <w:t>Plaintiff’s Rog No. 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283AF9" w:rsidRDefault="00277C4E" w:rsidP="00A96F61">
            <w:pPr>
              <w:widowControl w:val="0"/>
              <w:rPr>
                <w:rFonts w:ascii="Garamond" w:hAnsi="Garamond"/>
              </w:rPr>
            </w:pPr>
            <w:r w:rsidRPr="00283AF9">
              <w:rPr>
                <w:rFonts w:ascii="Garamond" w:hAnsi="Garamond"/>
              </w:rPr>
              <w:t xml:space="preserve">1. Overbroad and burdensome; </w:t>
            </w:r>
            <w:hyperlink r:id="rId10" w:history="1">
              <w:proofErr w:type="spellStart"/>
              <w:r w:rsidRPr="00283AF9">
                <w:rPr>
                  <w:rFonts w:ascii="Garamond" w:hAnsi="Garamond"/>
                  <w:i/>
                </w:rPr>
                <w:t>Leidholt</w:t>
              </w:r>
              <w:proofErr w:type="spellEnd"/>
              <w:r w:rsidRPr="00283AF9">
                <w:rPr>
                  <w:rFonts w:ascii="Garamond" w:hAnsi="Garamond"/>
                  <w:i/>
                </w:rPr>
                <w:t xml:space="preserve"> v. District Court</w:t>
              </w:r>
              <w:r w:rsidRPr="00283AF9">
                <w:rPr>
                  <w:rFonts w:ascii="Garamond" w:hAnsi="Garamond"/>
                </w:rPr>
                <w:t>, 619 P.2d 768 (Colo. 1980)</w:t>
              </w:r>
            </w:hyperlink>
            <w:r w:rsidRPr="00283AF9">
              <w:rPr>
                <w:rFonts w:ascii="Garamond" w:hAnsi="Garamond"/>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283AF9" w:rsidRDefault="00277C4E" w:rsidP="00A96F61">
            <w:pPr>
              <w:widowControl w:val="0"/>
              <w:rPr>
                <w:rFonts w:ascii="Garamond" w:hAnsi="Garamond"/>
              </w:rPr>
            </w:pPr>
            <w:r w:rsidRPr="00283AF9">
              <w:rPr>
                <w:rFonts w:ascii="Garamond" w:hAnsi="Garamond"/>
              </w:rPr>
              <w:t xml:space="preserve">Information sought is limited in scope. </w:t>
            </w:r>
            <w:hyperlink r:id="rId11" w:history="1">
              <w:r w:rsidRPr="00283AF9">
                <w:rPr>
                  <w:rFonts w:ascii="Garamond" w:hAnsi="Garamond"/>
                  <w:i/>
                </w:rPr>
                <w:t>Val Vu, Inc. v. Lacey</w:t>
              </w:r>
              <w:r w:rsidRPr="00283AF9">
                <w:rPr>
                  <w:rFonts w:ascii="Garamond" w:hAnsi="Garamond"/>
                </w:rPr>
                <w:t>, 31 Colo.</w:t>
              </w:r>
              <w:r>
                <w:rPr>
                  <w:rFonts w:ascii="Garamond" w:hAnsi="Garamond"/>
                </w:rPr>
                <w:t xml:space="preserve"> </w:t>
              </w:r>
              <w:r w:rsidRPr="00283AF9">
                <w:rPr>
                  <w:rFonts w:ascii="Garamond" w:hAnsi="Garamond"/>
                </w:rPr>
                <w:t>App. 55, 497 P.2d 723 (1972)</w:t>
              </w:r>
            </w:hyperlink>
          </w:p>
        </w:tc>
      </w:tr>
      <w:tr w:rsidR="00277C4E" w:rsidRPr="00283AF9" w:rsidTr="00705915">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rPr>
                <w:rFonts w:ascii="Garamond" w:hAnsi="Garamond"/>
              </w:rPr>
            </w:pPr>
            <w:r w:rsidRPr="0057025D">
              <w:rPr>
                <w:rFonts w:ascii="Garamond" w:hAnsi="Garamond"/>
              </w:rPr>
              <w:t>Plaintiff’s RFP No. 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283AF9" w:rsidRDefault="00277C4E" w:rsidP="00A96F61">
            <w:pPr>
              <w:widowControl w:val="0"/>
              <w:rPr>
                <w:rFonts w:ascii="Garamond" w:hAnsi="Garamond"/>
              </w:rPr>
            </w:pPr>
            <w:r w:rsidRPr="00283AF9">
              <w:rPr>
                <w:rFonts w:ascii="Garamond" w:hAnsi="Garamond"/>
              </w:rPr>
              <w:t xml:space="preserve">1. Attorney-client privilege; </w:t>
            </w:r>
            <w:r w:rsidRPr="00100CFF">
              <w:rPr>
                <w:rFonts w:ascii="Garamond" w:hAnsi="Garamond"/>
                <w:i/>
              </w:rPr>
              <w:t xml:space="preserve">National Farmers Union Property and Cas. Co. v. District Court </w:t>
            </w:r>
            <w:proofErr w:type="gramStart"/>
            <w:r w:rsidRPr="00100CFF">
              <w:rPr>
                <w:rFonts w:ascii="Garamond" w:hAnsi="Garamond"/>
                <w:i/>
              </w:rPr>
              <w:t>For</w:t>
            </w:r>
            <w:proofErr w:type="gramEnd"/>
            <w:r w:rsidRPr="00100CFF">
              <w:rPr>
                <w:rFonts w:ascii="Garamond" w:hAnsi="Garamond"/>
                <w:i/>
              </w:rPr>
              <w:t xml:space="preserve"> City and County of Denver</w:t>
            </w:r>
            <w:r w:rsidRPr="00100CFF">
              <w:rPr>
                <w:rFonts w:ascii="Garamond" w:hAnsi="Garamond"/>
              </w:rPr>
              <w:t>, 1986, 718 P.2d 1044</w:t>
            </w:r>
            <w:r w:rsidRPr="00283AF9">
              <w:rPr>
                <w:rFonts w:ascii="Garamond" w:hAnsi="Garamond"/>
              </w:rPr>
              <w:t xml:space="preserve"> 2. Not relevant; </w:t>
            </w:r>
            <w:r w:rsidRPr="00100CFF">
              <w:rPr>
                <w:rFonts w:ascii="Garamond" w:hAnsi="Garamond"/>
                <w:i/>
              </w:rPr>
              <w:t xml:space="preserve">Martinelli v. District Court </w:t>
            </w:r>
            <w:proofErr w:type="gramStart"/>
            <w:r w:rsidRPr="00100CFF">
              <w:rPr>
                <w:rFonts w:ascii="Garamond" w:hAnsi="Garamond"/>
                <w:i/>
              </w:rPr>
              <w:t>In</w:t>
            </w:r>
            <w:proofErr w:type="gramEnd"/>
            <w:r w:rsidRPr="00100CFF">
              <w:rPr>
                <w:rFonts w:ascii="Garamond" w:hAnsi="Garamond"/>
                <w:i/>
              </w:rPr>
              <w:t xml:space="preserve"> and For City and County of Denver</w:t>
            </w:r>
            <w:r w:rsidRPr="00100CFF">
              <w:rPr>
                <w:rFonts w:ascii="Garamond" w:hAnsi="Garamond"/>
              </w:rPr>
              <w:t>, 1980, 612 P.2d 1083</w:t>
            </w:r>
            <w:r w:rsidRPr="00283AF9">
              <w:rPr>
                <w:rFonts w:ascii="Garamond" w:hAnsi="Garamond"/>
              </w:rPr>
              <w:t>;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283AF9" w:rsidRDefault="00277C4E" w:rsidP="00A96F61">
            <w:pPr>
              <w:widowControl w:val="0"/>
              <w:rPr>
                <w:rFonts w:ascii="Garamond" w:hAnsi="Garamond"/>
              </w:rPr>
            </w:pPr>
            <w:r w:rsidRPr="00283AF9">
              <w:rPr>
                <w:rFonts w:ascii="Garamond" w:hAnsi="Garamond"/>
              </w:rPr>
              <w:t xml:space="preserve">Reasonably calculated to lead to discovery of admissible evidence. </w:t>
            </w:r>
            <w:r w:rsidRPr="00100CFF">
              <w:rPr>
                <w:rFonts w:ascii="Garamond" w:hAnsi="Garamond"/>
                <w:i/>
              </w:rPr>
              <w:t>Silva v. Basin Western, Inc.</w:t>
            </w:r>
            <w:r w:rsidRPr="00100CFF">
              <w:rPr>
                <w:rFonts w:ascii="Garamond" w:hAnsi="Garamond"/>
              </w:rPr>
              <w:t>, 2002, 47 P.3d 1184</w:t>
            </w:r>
            <w:r w:rsidRPr="00283AF9">
              <w:rPr>
                <w:rFonts w:ascii="Garamond" w:hAnsi="Garamond"/>
              </w:rPr>
              <w:t xml:space="preserve"> Information sought is reasonably defined and scope is limited. </w:t>
            </w:r>
            <w:r w:rsidRPr="00100CFF">
              <w:rPr>
                <w:rFonts w:ascii="Garamond" w:hAnsi="Garamond"/>
                <w:i/>
              </w:rPr>
              <w:t xml:space="preserve">Curtis, Inc. v. District Court </w:t>
            </w:r>
            <w:proofErr w:type="gramStart"/>
            <w:r w:rsidRPr="00100CFF">
              <w:rPr>
                <w:rFonts w:ascii="Garamond" w:hAnsi="Garamond"/>
                <w:i/>
              </w:rPr>
              <w:t>In</w:t>
            </w:r>
            <w:proofErr w:type="gramEnd"/>
            <w:r w:rsidRPr="00100CFF">
              <w:rPr>
                <w:rFonts w:ascii="Garamond" w:hAnsi="Garamond"/>
                <w:i/>
              </w:rPr>
              <w:t xml:space="preserve"> and For City and County of Denver</w:t>
            </w:r>
            <w:r w:rsidRPr="00100CFF">
              <w:rPr>
                <w:rFonts w:ascii="Garamond" w:hAnsi="Garamond"/>
              </w:rPr>
              <w:t>, 1974, 526 P.2d 1335</w:t>
            </w:r>
          </w:p>
        </w:tc>
      </w:tr>
    </w:tbl>
    <w:p w:rsidR="00277C4E" w:rsidRPr="0057025D" w:rsidRDefault="00277C4E" w:rsidP="00277C4E">
      <w:pPr>
        <w:spacing w:before="120" w:after="120"/>
        <w:ind w:left="720" w:right="720"/>
        <w:contextualSpacing/>
        <w:rPr>
          <w:rFonts w:ascii="Garamond" w:hAnsi="Garamond"/>
        </w:rPr>
      </w:pPr>
    </w:p>
    <w:p w:rsidR="00277C4E" w:rsidRPr="0057025D" w:rsidRDefault="00277C4E" w:rsidP="00277C4E">
      <w:pPr>
        <w:rPr>
          <w:rFonts w:ascii="Garamond" w:hAnsi="Garamond"/>
        </w:rPr>
      </w:pPr>
    </w:p>
    <w:p w:rsidR="00EC5061" w:rsidRPr="001D6410" w:rsidRDefault="00EC5061" w:rsidP="005B79BD">
      <w:pPr>
        <w:widowControl w:val="0"/>
        <w:ind w:left="4320"/>
        <w:jc w:val="both"/>
        <w:rPr>
          <w:rFonts w:ascii="Garamond" w:hAnsi="Garamond"/>
        </w:rPr>
      </w:pPr>
    </w:p>
    <w:sectPr w:rsidR="00EC5061" w:rsidRPr="001D6410" w:rsidSect="00C77B5F">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1EA" w:rsidRDefault="000921EA" w:rsidP="00B0732F">
      <w:r>
        <w:separator/>
      </w:r>
    </w:p>
  </w:endnote>
  <w:endnote w:type="continuationSeparator" w:id="0">
    <w:p w:rsidR="000921EA" w:rsidRDefault="000921EA" w:rsidP="00B0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roma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110843"/>
      <w:docPartObj>
        <w:docPartGallery w:val="Page Numbers (Bottom of Page)"/>
        <w:docPartUnique/>
      </w:docPartObj>
    </w:sdtPr>
    <w:sdtEndPr>
      <w:rPr>
        <w:noProof/>
      </w:rPr>
    </w:sdtEndPr>
    <w:sdtContent>
      <w:p w:rsidR="002423BB" w:rsidRDefault="002423BB">
        <w:pPr>
          <w:pStyle w:val="Footer"/>
          <w:jc w:val="center"/>
        </w:pPr>
        <w:r w:rsidRPr="002423BB">
          <w:rPr>
            <w:rFonts w:ascii="Garamond" w:hAnsi="Garamond"/>
          </w:rPr>
          <w:fldChar w:fldCharType="begin"/>
        </w:r>
        <w:r w:rsidRPr="002423BB">
          <w:rPr>
            <w:rFonts w:ascii="Garamond" w:hAnsi="Garamond"/>
          </w:rPr>
          <w:instrText xml:space="preserve"> PAGE   \* MERGEFORMAT </w:instrText>
        </w:r>
        <w:r w:rsidRPr="002423BB">
          <w:rPr>
            <w:rFonts w:ascii="Garamond" w:hAnsi="Garamond"/>
          </w:rPr>
          <w:fldChar w:fldCharType="separate"/>
        </w:r>
        <w:r w:rsidR="007F715D">
          <w:rPr>
            <w:rFonts w:ascii="Garamond" w:hAnsi="Garamond"/>
            <w:noProof/>
          </w:rPr>
          <w:t>1</w:t>
        </w:r>
        <w:r w:rsidRPr="002423BB">
          <w:rPr>
            <w:rFonts w:ascii="Garamond" w:hAnsi="Garamond"/>
            <w:noProof/>
          </w:rPr>
          <w:fldChar w:fldCharType="end"/>
        </w:r>
      </w:p>
    </w:sdtContent>
  </w:sdt>
  <w:p w:rsidR="00277C4E" w:rsidRPr="002423BB" w:rsidRDefault="00277C4E" w:rsidP="002423BB">
    <w:pPr>
      <w:pStyle w:val="Footer"/>
      <w:jc w:val="center"/>
      <w:rPr>
        <w:rFonts w:ascii="Garamond" w:hAnsi="Garamond"/>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D9" w:rsidRDefault="00170E99" w:rsidP="00E152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5D9" w:rsidRDefault="007F7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D9" w:rsidRPr="00A44386" w:rsidRDefault="00170E99" w:rsidP="00E15263">
    <w:pPr>
      <w:pStyle w:val="Footer"/>
      <w:framePr w:wrap="around" w:vAnchor="text" w:hAnchor="margin" w:xAlign="center" w:y="1"/>
      <w:rPr>
        <w:rStyle w:val="PageNumber"/>
        <w:rFonts w:ascii="Garamond" w:hAnsi="Garamond" w:cs="Arial"/>
        <w:szCs w:val="24"/>
      </w:rPr>
    </w:pPr>
    <w:r w:rsidRPr="00A44386">
      <w:rPr>
        <w:rStyle w:val="PageNumber"/>
        <w:rFonts w:ascii="Garamond" w:hAnsi="Garamond" w:cs="Arial"/>
        <w:szCs w:val="24"/>
      </w:rPr>
      <w:fldChar w:fldCharType="begin"/>
    </w:r>
    <w:r w:rsidRPr="00A44386">
      <w:rPr>
        <w:rStyle w:val="PageNumber"/>
        <w:rFonts w:ascii="Garamond" w:hAnsi="Garamond" w:cs="Arial"/>
        <w:szCs w:val="24"/>
      </w:rPr>
      <w:instrText xml:space="preserve">PAGE  </w:instrText>
    </w:r>
    <w:r w:rsidRPr="00A44386">
      <w:rPr>
        <w:rStyle w:val="PageNumber"/>
        <w:rFonts w:ascii="Garamond" w:hAnsi="Garamond" w:cs="Arial"/>
        <w:szCs w:val="24"/>
      </w:rPr>
      <w:fldChar w:fldCharType="separate"/>
    </w:r>
    <w:r>
      <w:rPr>
        <w:rStyle w:val="PageNumber"/>
        <w:rFonts w:ascii="Garamond" w:hAnsi="Garamond" w:cs="Arial"/>
        <w:noProof/>
        <w:szCs w:val="24"/>
      </w:rPr>
      <w:t>5</w:t>
    </w:r>
    <w:r w:rsidRPr="00A44386">
      <w:rPr>
        <w:rStyle w:val="PageNumber"/>
        <w:rFonts w:ascii="Garamond" w:hAnsi="Garamond" w:cs="Arial"/>
        <w:szCs w:val="24"/>
      </w:rPr>
      <w:fldChar w:fldCharType="end"/>
    </w:r>
  </w:p>
  <w:p w:rsidR="008835D9" w:rsidRDefault="007F7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E3" w:rsidRPr="00900AE3" w:rsidRDefault="00170E99">
    <w:pPr>
      <w:pStyle w:val="Footer"/>
      <w:jc w:val="center"/>
      <w:rPr>
        <w:rFonts w:ascii="Garamond" w:hAnsi="Garamond"/>
        <w:szCs w:val="24"/>
      </w:rPr>
    </w:pPr>
    <w:r>
      <w:rPr>
        <w:rFonts w:ascii="Garamond" w:hAnsi="Garamond"/>
        <w:szCs w:val="24"/>
      </w:rPr>
      <w:t>A-1</w:t>
    </w:r>
  </w:p>
  <w:p w:rsidR="00900AE3" w:rsidRDefault="007F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1EA" w:rsidRDefault="000921EA" w:rsidP="00B0732F">
      <w:r>
        <w:separator/>
      </w:r>
    </w:p>
  </w:footnote>
  <w:footnote w:type="continuationSeparator" w:id="0">
    <w:p w:rsidR="000921EA" w:rsidRDefault="000921EA" w:rsidP="00B0732F">
      <w:r>
        <w:continuationSeparator/>
      </w:r>
    </w:p>
  </w:footnote>
  <w:footnote w:id="1">
    <w:p w:rsidR="00277C4E" w:rsidRPr="00705915" w:rsidRDefault="00277C4E" w:rsidP="00277C4E">
      <w:pPr>
        <w:pStyle w:val="FootnoteText"/>
        <w:rPr>
          <w:rFonts w:ascii="Garamond" w:hAnsi="Garamond"/>
          <w:sz w:val="22"/>
          <w:szCs w:val="22"/>
        </w:rPr>
      </w:pPr>
      <w:r w:rsidRPr="00705915">
        <w:rPr>
          <w:rFonts w:ascii="Garamond" w:hAnsi="Garamond"/>
          <w:sz w:val="22"/>
          <w:szCs w:val="22"/>
          <w:vertAlign w:val="superscript"/>
        </w:rPr>
        <w:footnoteRef/>
      </w:r>
      <w:r w:rsidRPr="00705915">
        <w:rPr>
          <w:rFonts w:ascii="Garamond" w:hAnsi="Garamond"/>
          <w:sz w:val="22"/>
          <w:szCs w:val="22"/>
        </w:rPr>
        <w:t xml:space="preserve">  Acceptable abbreviations include “Rog” for Interrogatory, “RFP” for Request for Production; “RFA” for Request for Admission; “SDT” for Subpoena Duces Tecum.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856" w:rsidRDefault="007C6856" w:rsidP="007C6856">
    <w:pPr>
      <w:pStyle w:val="ListParagraph"/>
      <w:ind w:left="0"/>
      <w:jc w:val="center"/>
      <w:rPr>
        <w:rFonts w:ascii="Garamond" w:hAnsi="Garamond"/>
        <w:b/>
        <w:caps/>
        <w:sz w:val="26"/>
        <w:szCs w:val="26"/>
      </w:rPr>
    </w:pPr>
    <w:r w:rsidRPr="007A7561">
      <w:rPr>
        <w:rFonts w:ascii="Garamond" w:hAnsi="Garamond"/>
        <w:b/>
        <w:caps/>
        <w:sz w:val="26"/>
        <w:szCs w:val="26"/>
      </w:rPr>
      <w:t xml:space="preserve">Procedures for </w:t>
    </w:r>
    <w:r w:rsidRPr="007C6856">
      <w:rPr>
        <w:rFonts w:ascii="Garamond" w:hAnsi="Garamond"/>
        <w:b/>
        <w:caps/>
        <w:sz w:val="26"/>
        <w:szCs w:val="26"/>
      </w:rPr>
      <w:t xml:space="preserve">COLO. R. CIV. P. 16 CASE MANAGEMENT </w:t>
    </w:r>
  </w:p>
  <w:p w:rsidR="007C6856" w:rsidRDefault="007C6856" w:rsidP="007C6856">
    <w:pPr>
      <w:pStyle w:val="ListParagraph"/>
      <w:ind w:left="0"/>
      <w:jc w:val="center"/>
      <w:rPr>
        <w:rFonts w:ascii="Garamond" w:hAnsi="Garamond"/>
        <w:b/>
        <w:caps/>
        <w:sz w:val="26"/>
        <w:szCs w:val="26"/>
      </w:rPr>
    </w:pPr>
  </w:p>
  <w:p w:rsidR="007C6856" w:rsidRDefault="007C6856" w:rsidP="007C6856">
    <w:pPr>
      <w:pStyle w:val="ListParagraph"/>
      <w:ind w:left="0"/>
      <w:jc w:val="center"/>
      <w:rPr>
        <w:rFonts w:ascii="Garamond" w:hAnsi="Garamond"/>
        <w:b/>
        <w:caps/>
        <w:sz w:val="26"/>
        <w:szCs w:val="26"/>
      </w:rPr>
    </w:pPr>
    <w:r>
      <w:rPr>
        <w:rFonts w:ascii="Garamond" w:hAnsi="Garamond"/>
        <w:b/>
        <w:caps/>
        <w:sz w:val="26"/>
        <w:szCs w:val="26"/>
      </w:rPr>
      <w:t>dISTRICT cOURT jUDGE jUAN g. vILLASEÑOR</w:t>
    </w:r>
  </w:p>
  <w:p w:rsidR="007C6856" w:rsidRDefault="007C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856" w:rsidRDefault="007C6856" w:rsidP="007C6856">
    <w:pPr>
      <w:pStyle w:val="ListParagraph"/>
      <w:ind w:left="0"/>
      <w:jc w:val="center"/>
      <w:rPr>
        <w:rFonts w:ascii="Garamond" w:hAnsi="Garamond"/>
        <w:b/>
        <w:caps/>
        <w:sz w:val="26"/>
        <w:szCs w:val="26"/>
      </w:rPr>
    </w:pPr>
    <w:r w:rsidRPr="007A7561">
      <w:rPr>
        <w:rFonts w:ascii="Garamond" w:hAnsi="Garamond"/>
        <w:b/>
        <w:caps/>
        <w:sz w:val="26"/>
        <w:szCs w:val="26"/>
      </w:rPr>
      <w:t xml:space="preserve">Procedures for </w:t>
    </w:r>
    <w:r w:rsidRPr="007C6856">
      <w:rPr>
        <w:rFonts w:ascii="Garamond" w:hAnsi="Garamond"/>
        <w:b/>
        <w:caps/>
        <w:sz w:val="26"/>
        <w:szCs w:val="26"/>
      </w:rPr>
      <w:t xml:space="preserve">COLO. R. CIV. P. 16 CASE MANAGEMENT </w:t>
    </w:r>
  </w:p>
  <w:p w:rsidR="007C6856" w:rsidRDefault="007C6856" w:rsidP="007C6856">
    <w:pPr>
      <w:pStyle w:val="ListParagraph"/>
      <w:ind w:left="0"/>
      <w:jc w:val="center"/>
      <w:rPr>
        <w:rFonts w:ascii="Garamond" w:hAnsi="Garamond"/>
        <w:b/>
        <w:caps/>
        <w:sz w:val="26"/>
        <w:szCs w:val="26"/>
      </w:rPr>
    </w:pPr>
  </w:p>
  <w:p w:rsidR="007C6856" w:rsidRDefault="007C6856" w:rsidP="007C6856">
    <w:pPr>
      <w:pStyle w:val="ListParagraph"/>
      <w:ind w:left="0"/>
      <w:jc w:val="center"/>
      <w:rPr>
        <w:rFonts w:ascii="Garamond" w:hAnsi="Garamond"/>
        <w:b/>
        <w:caps/>
        <w:sz w:val="26"/>
        <w:szCs w:val="26"/>
      </w:rPr>
    </w:pPr>
    <w:r>
      <w:rPr>
        <w:rFonts w:ascii="Garamond" w:hAnsi="Garamond"/>
        <w:b/>
        <w:caps/>
        <w:sz w:val="26"/>
        <w:szCs w:val="26"/>
      </w:rPr>
      <w:t>dISTRICT cOURT jUDGE jUAN g. vILLASEÑOR</w:t>
    </w:r>
  </w:p>
  <w:p w:rsidR="007C6856" w:rsidRDefault="007C6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68"/>
    <w:rsid w:val="00012255"/>
    <w:rsid w:val="00025C96"/>
    <w:rsid w:val="0003176E"/>
    <w:rsid w:val="00066918"/>
    <w:rsid w:val="00082B03"/>
    <w:rsid w:val="000921EA"/>
    <w:rsid w:val="000A7457"/>
    <w:rsid w:val="000A7BBB"/>
    <w:rsid w:val="00123B33"/>
    <w:rsid w:val="0014155D"/>
    <w:rsid w:val="00146C79"/>
    <w:rsid w:val="00170E99"/>
    <w:rsid w:val="001D6410"/>
    <w:rsid w:val="001F494E"/>
    <w:rsid w:val="001F6D23"/>
    <w:rsid w:val="00212337"/>
    <w:rsid w:val="002258E1"/>
    <w:rsid w:val="002423BB"/>
    <w:rsid w:val="00243F79"/>
    <w:rsid w:val="00277C4E"/>
    <w:rsid w:val="002E0676"/>
    <w:rsid w:val="002F44CC"/>
    <w:rsid w:val="00343AC5"/>
    <w:rsid w:val="0038612D"/>
    <w:rsid w:val="003C03DB"/>
    <w:rsid w:val="003C5571"/>
    <w:rsid w:val="00415E9C"/>
    <w:rsid w:val="004214E8"/>
    <w:rsid w:val="00446A6A"/>
    <w:rsid w:val="00484CB8"/>
    <w:rsid w:val="005108BB"/>
    <w:rsid w:val="005505C8"/>
    <w:rsid w:val="005A040B"/>
    <w:rsid w:val="005A7F46"/>
    <w:rsid w:val="005B79BD"/>
    <w:rsid w:val="005D0AED"/>
    <w:rsid w:val="005E6CE0"/>
    <w:rsid w:val="006A61C4"/>
    <w:rsid w:val="006B2880"/>
    <w:rsid w:val="00705915"/>
    <w:rsid w:val="0071150B"/>
    <w:rsid w:val="007131BE"/>
    <w:rsid w:val="00733356"/>
    <w:rsid w:val="00736DB7"/>
    <w:rsid w:val="00741311"/>
    <w:rsid w:val="007503F6"/>
    <w:rsid w:val="007619E3"/>
    <w:rsid w:val="00766C33"/>
    <w:rsid w:val="007936A6"/>
    <w:rsid w:val="007C66E3"/>
    <w:rsid w:val="007C6856"/>
    <w:rsid w:val="007D4D98"/>
    <w:rsid w:val="007F676B"/>
    <w:rsid w:val="007F715D"/>
    <w:rsid w:val="00823321"/>
    <w:rsid w:val="00841DEA"/>
    <w:rsid w:val="0085154F"/>
    <w:rsid w:val="008725A2"/>
    <w:rsid w:val="008B5A5F"/>
    <w:rsid w:val="008C0160"/>
    <w:rsid w:val="008C2268"/>
    <w:rsid w:val="008D7F93"/>
    <w:rsid w:val="008F401F"/>
    <w:rsid w:val="008F5390"/>
    <w:rsid w:val="0090299F"/>
    <w:rsid w:val="0092531E"/>
    <w:rsid w:val="00927F24"/>
    <w:rsid w:val="00950ADE"/>
    <w:rsid w:val="00951388"/>
    <w:rsid w:val="009928B9"/>
    <w:rsid w:val="009978EE"/>
    <w:rsid w:val="009A0508"/>
    <w:rsid w:val="009B05C4"/>
    <w:rsid w:val="009C5A7F"/>
    <w:rsid w:val="009C5E8C"/>
    <w:rsid w:val="00A0513B"/>
    <w:rsid w:val="00A1439A"/>
    <w:rsid w:val="00A304A4"/>
    <w:rsid w:val="00A53AFC"/>
    <w:rsid w:val="00A75C4C"/>
    <w:rsid w:val="00B00034"/>
    <w:rsid w:val="00B0732F"/>
    <w:rsid w:val="00B31DF4"/>
    <w:rsid w:val="00B32757"/>
    <w:rsid w:val="00B4331F"/>
    <w:rsid w:val="00B47B9E"/>
    <w:rsid w:val="00B95AF4"/>
    <w:rsid w:val="00BB015D"/>
    <w:rsid w:val="00BB31AB"/>
    <w:rsid w:val="00BD4F39"/>
    <w:rsid w:val="00BE68EE"/>
    <w:rsid w:val="00C13454"/>
    <w:rsid w:val="00C17701"/>
    <w:rsid w:val="00C25496"/>
    <w:rsid w:val="00C73B48"/>
    <w:rsid w:val="00CC1685"/>
    <w:rsid w:val="00CD0788"/>
    <w:rsid w:val="00DC5906"/>
    <w:rsid w:val="00DE1F01"/>
    <w:rsid w:val="00DE2133"/>
    <w:rsid w:val="00DE32CB"/>
    <w:rsid w:val="00DE5E13"/>
    <w:rsid w:val="00E068C4"/>
    <w:rsid w:val="00E1262A"/>
    <w:rsid w:val="00E26C5A"/>
    <w:rsid w:val="00EB5E2B"/>
    <w:rsid w:val="00EC5061"/>
    <w:rsid w:val="00ED26F7"/>
    <w:rsid w:val="00F0489A"/>
    <w:rsid w:val="00F14EB6"/>
    <w:rsid w:val="00F5161D"/>
    <w:rsid w:val="00F65F8B"/>
    <w:rsid w:val="00F82626"/>
    <w:rsid w:val="00FA49C5"/>
    <w:rsid w:val="00FB6E91"/>
    <w:rsid w:val="00FC463C"/>
    <w:rsid w:val="00FC486C"/>
    <w:rsid w:val="00FC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5B326FC-0E9D-4572-A022-B9CF54E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14155D"/>
    <w:pPr>
      <w:keepNext/>
      <w:jc w:val="both"/>
      <w:outlineLvl w:val="2"/>
    </w:pPr>
    <w:rPr>
      <w:rFonts w:ascii="Times New Roman" w:hAnsi="Times New Roman" w:cs="Times New Roman"/>
      <w:szCs w:val="20"/>
    </w:rPr>
  </w:style>
  <w:style w:type="paragraph" w:styleId="Heading4">
    <w:name w:val="heading 4"/>
    <w:basedOn w:val="Normal"/>
    <w:next w:val="Normal"/>
    <w:link w:val="Heading4Char"/>
    <w:qFormat/>
    <w:rsid w:val="0014155D"/>
    <w:pPr>
      <w:keepNext/>
      <w:spacing w:line="480" w:lineRule="auto"/>
      <w:jc w:val="both"/>
      <w:outlineLvl w:val="3"/>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rPr>
  </w:style>
  <w:style w:type="paragraph" w:styleId="EnvelopeAddress">
    <w:name w:val="envelope address"/>
    <w:basedOn w:val="Normal"/>
    <w:pPr>
      <w:framePr w:w="7920" w:h="1980" w:hRule="exact" w:hSpace="180" w:wrap="auto" w:hAnchor="page" w:xAlign="center" w:yAlign="bottom"/>
      <w:ind w:left="2880"/>
    </w:pPr>
    <w:rPr>
      <w:b/>
    </w:rPr>
  </w:style>
  <w:style w:type="paragraph" w:styleId="BalloonText">
    <w:name w:val="Balloon Text"/>
    <w:basedOn w:val="Normal"/>
    <w:link w:val="BalloonTextChar"/>
    <w:rsid w:val="007F676B"/>
    <w:rPr>
      <w:sz w:val="16"/>
      <w:szCs w:val="16"/>
    </w:rPr>
  </w:style>
  <w:style w:type="character" w:customStyle="1" w:styleId="BalloonTextChar">
    <w:name w:val="Balloon Text Char"/>
    <w:link w:val="BalloonText"/>
    <w:rsid w:val="007F676B"/>
    <w:rPr>
      <w:sz w:val="16"/>
      <w:szCs w:val="16"/>
    </w:rPr>
  </w:style>
  <w:style w:type="character" w:styleId="Hyperlink">
    <w:name w:val="Hyperlink"/>
    <w:rsid w:val="005B79BD"/>
    <w:rPr>
      <w:color w:val="0000FF"/>
      <w:u w:val="single"/>
    </w:rPr>
  </w:style>
  <w:style w:type="character" w:styleId="FollowedHyperlink">
    <w:name w:val="FollowedHyperlink"/>
    <w:rsid w:val="00841DEA"/>
    <w:rPr>
      <w:color w:val="800080"/>
      <w:u w:val="single"/>
    </w:rPr>
  </w:style>
  <w:style w:type="paragraph" w:styleId="FootnoteText">
    <w:name w:val="footnote text"/>
    <w:basedOn w:val="Normal"/>
    <w:link w:val="FootnoteTextChar"/>
    <w:semiHidden/>
    <w:unhideWhenUsed/>
    <w:rsid w:val="00B0732F"/>
    <w:rPr>
      <w:sz w:val="20"/>
      <w:szCs w:val="20"/>
    </w:rPr>
  </w:style>
  <w:style w:type="character" w:customStyle="1" w:styleId="FootnoteTextChar">
    <w:name w:val="Footnote Text Char"/>
    <w:basedOn w:val="DefaultParagraphFont"/>
    <w:link w:val="FootnoteText"/>
    <w:semiHidden/>
    <w:rsid w:val="00B0732F"/>
  </w:style>
  <w:style w:type="character" w:styleId="FootnoteReference">
    <w:name w:val="footnote reference"/>
    <w:basedOn w:val="DefaultParagraphFont"/>
    <w:semiHidden/>
    <w:unhideWhenUsed/>
    <w:rsid w:val="00B0732F"/>
    <w:rPr>
      <w:vertAlign w:val="superscript"/>
    </w:rPr>
  </w:style>
  <w:style w:type="character" w:customStyle="1" w:styleId="Heading3Char">
    <w:name w:val="Heading 3 Char"/>
    <w:basedOn w:val="DefaultParagraphFont"/>
    <w:link w:val="Heading3"/>
    <w:rsid w:val="0014155D"/>
    <w:rPr>
      <w:rFonts w:ascii="Times New Roman" w:hAnsi="Times New Roman" w:cs="Times New Roman"/>
      <w:sz w:val="24"/>
    </w:rPr>
  </w:style>
  <w:style w:type="character" w:customStyle="1" w:styleId="Heading4Char">
    <w:name w:val="Heading 4 Char"/>
    <w:basedOn w:val="DefaultParagraphFont"/>
    <w:link w:val="Heading4"/>
    <w:rsid w:val="0014155D"/>
    <w:rPr>
      <w:rFonts w:ascii="Arial" w:hAnsi="Arial" w:cs="Times New Roman"/>
      <w:b/>
      <w:sz w:val="24"/>
    </w:rPr>
  </w:style>
  <w:style w:type="paragraph" w:styleId="BodyText2">
    <w:name w:val="Body Text 2"/>
    <w:basedOn w:val="Normal"/>
    <w:link w:val="BodyText2Char"/>
    <w:rsid w:val="0014155D"/>
    <w:pPr>
      <w:spacing w:line="480" w:lineRule="auto"/>
      <w:jc w:val="both"/>
    </w:pPr>
    <w:rPr>
      <w:rFonts w:ascii="Times New Roman" w:hAnsi="Times New Roman" w:cs="Times New Roman"/>
      <w:szCs w:val="20"/>
    </w:rPr>
  </w:style>
  <w:style w:type="character" w:customStyle="1" w:styleId="BodyText2Char">
    <w:name w:val="Body Text 2 Char"/>
    <w:basedOn w:val="DefaultParagraphFont"/>
    <w:link w:val="BodyText2"/>
    <w:rsid w:val="0014155D"/>
    <w:rPr>
      <w:rFonts w:ascii="Times New Roman" w:hAnsi="Times New Roman" w:cs="Times New Roman"/>
      <w:sz w:val="24"/>
    </w:rPr>
  </w:style>
  <w:style w:type="character" w:styleId="CommentReference">
    <w:name w:val="annotation reference"/>
    <w:basedOn w:val="DefaultParagraphFont"/>
    <w:semiHidden/>
    <w:unhideWhenUsed/>
    <w:rsid w:val="004214E8"/>
    <w:rPr>
      <w:sz w:val="16"/>
      <w:szCs w:val="16"/>
    </w:rPr>
  </w:style>
  <w:style w:type="paragraph" w:styleId="CommentText">
    <w:name w:val="annotation text"/>
    <w:basedOn w:val="Normal"/>
    <w:link w:val="CommentTextChar"/>
    <w:semiHidden/>
    <w:unhideWhenUsed/>
    <w:rsid w:val="004214E8"/>
    <w:rPr>
      <w:sz w:val="20"/>
      <w:szCs w:val="20"/>
    </w:rPr>
  </w:style>
  <w:style w:type="character" w:customStyle="1" w:styleId="CommentTextChar">
    <w:name w:val="Comment Text Char"/>
    <w:basedOn w:val="DefaultParagraphFont"/>
    <w:link w:val="CommentText"/>
    <w:semiHidden/>
    <w:rsid w:val="004214E8"/>
  </w:style>
  <w:style w:type="paragraph" w:styleId="CommentSubject">
    <w:name w:val="annotation subject"/>
    <w:basedOn w:val="CommentText"/>
    <w:next w:val="CommentText"/>
    <w:link w:val="CommentSubjectChar"/>
    <w:semiHidden/>
    <w:unhideWhenUsed/>
    <w:rsid w:val="004214E8"/>
    <w:rPr>
      <w:b/>
      <w:bCs/>
    </w:rPr>
  </w:style>
  <w:style w:type="character" w:customStyle="1" w:styleId="CommentSubjectChar">
    <w:name w:val="Comment Subject Char"/>
    <w:basedOn w:val="CommentTextChar"/>
    <w:link w:val="CommentSubject"/>
    <w:semiHidden/>
    <w:rsid w:val="004214E8"/>
    <w:rPr>
      <w:b/>
      <w:bCs/>
    </w:rPr>
  </w:style>
  <w:style w:type="paragraph" w:customStyle="1" w:styleId="Default">
    <w:name w:val="Default"/>
    <w:rsid w:val="00277C4E"/>
    <w:pPr>
      <w:autoSpaceDE w:val="0"/>
      <w:autoSpaceDN w:val="0"/>
      <w:adjustRightInd w:val="0"/>
    </w:pPr>
    <w:rPr>
      <w:rFonts w:ascii="Arial" w:eastAsiaTheme="minorHAnsi" w:hAnsi="Arial" w:cs="Arial"/>
      <w:color w:val="000000"/>
      <w:sz w:val="24"/>
      <w:szCs w:val="24"/>
    </w:rPr>
  </w:style>
  <w:style w:type="paragraph" w:styleId="Footer">
    <w:name w:val="footer"/>
    <w:basedOn w:val="Normal"/>
    <w:link w:val="FooterChar"/>
    <w:uiPriority w:val="99"/>
    <w:unhideWhenUsed/>
    <w:rsid w:val="00277C4E"/>
    <w:pPr>
      <w:tabs>
        <w:tab w:val="center" w:pos="4680"/>
        <w:tab w:val="right" w:pos="9360"/>
      </w:tabs>
      <w:overflowPunct w:val="0"/>
      <w:autoSpaceDE w:val="0"/>
      <w:autoSpaceDN w:val="0"/>
      <w:adjustRightInd w:val="0"/>
      <w:textAlignment w:val="baseline"/>
    </w:pPr>
    <w:rPr>
      <w:rFonts w:ascii="Courier" w:hAnsi="Courier" w:cs="Times New Roman"/>
      <w:szCs w:val="20"/>
    </w:rPr>
  </w:style>
  <w:style w:type="character" w:customStyle="1" w:styleId="FooterChar">
    <w:name w:val="Footer Char"/>
    <w:basedOn w:val="DefaultParagraphFont"/>
    <w:link w:val="Footer"/>
    <w:uiPriority w:val="99"/>
    <w:rsid w:val="00277C4E"/>
    <w:rPr>
      <w:rFonts w:ascii="Courier" w:hAnsi="Courier" w:cs="Times New Roman"/>
      <w:sz w:val="24"/>
    </w:rPr>
  </w:style>
  <w:style w:type="character" w:styleId="PageNumber">
    <w:name w:val="page number"/>
    <w:basedOn w:val="DefaultParagraphFont"/>
    <w:rsid w:val="00277C4E"/>
  </w:style>
  <w:style w:type="paragraph" w:styleId="Header">
    <w:name w:val="header"/>
    <w:basedOn w:val="Normal"/>
    <w:link w:val="HeaderChar"/>
    <w:unhideWhenUsed/>
    <w:rsid w:val="00277C4E"/>
    <w:pPr>
      <w:tabs>
        <w:tab w:val="center" w:pos="4680"/>
        <w:tab w:val="right" w:pos="9360"/>
      </w:tabs>
    </w:pPr>
  </w:style>
  <w:style w:type="character" w:customStyle="1" w:styleId="HeaderChar">
    <w:name w:val="Header Char"/>
    <w:basedOn w:val="DefaultParagraphFont"/>
    <w:link w:val="Header"/>
    <w:rsid w:val="00277C4E"/>
    <w:rPr>
      <w:sz w:val="24"/>
      <w:szCs w:val="24"/>
    </w:rPr>
  </w:style>
  <w:style w:type="paragraph" w:styleId="ListParagraph">
    <w:name w:val="List Paragraph"/>
    <w:basedOn w:val="Normal"/>
    <w:uiPriority w:val="34"/>
    <w:qFormat/>
    <w:rsid w:val="007C685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40B7-228A-47CA-9067-9D624CB5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1131</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7471</CharactersWithSpaces>
  <SharedDoc>false</SharedDoc>
  <HLinks>
    <vt:vector size="6" baseType="variant">
      <vt:variant>
        <vt:i4>6160503</vt:i4>
      </vt:variant>
      <vt:variant>
        <vt:i4>12</vt:i4>
      </vt:variant>
      <vt:variant>
        <vt:i4>0</vt:i4>
      </vt:variant>
      <vt:variant>
        <vt:i4>5</vt:i4>
      </vt:variant>
      <vt:variant>
        <vt:lpwstr>https://www.courts.state.co.us/userfiles/file/Court_Probation/08th_Judicial_District/Larimer/Setting Info for District Courts March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bair, jonathan</cp:lastModifiedBy>
  <cp:revision>7</cp:revision>
  <cp:lastPrinted>2016-09-07T19:24:00Z</cp:lastPrinted>
  <dcterms:created xsi:type="dcterms:W3CDTF">2018-10-19T15:36:00Z</dcterms:created>
  <dcterms:modified xsi:type="dcterms:W3CDTF">2018-10-23T22:18:00Z</dcterms:modified>
</cp:coreProperties>
</file>