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B27488"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w:t>
      </w:r>
      <w:r w:rsidR="00B27488" w:rsidRPr="00406420">
        <w:rPr>
          <w:rFonts w:ascii="Garamond" w:hAnsi="Garamond"/>
          <w:b/>
          <w:caps/>
          <w:sz w:val="32"/>
          <w:szCs w:val="32"/>
          <w:u w:val="single"/>
        </w:rPr>
        <w:t>Procedures</w:t>
      </w:r>
      <w:r w:rsidR="00B27488">
        <w:rPr>
          <w:rFonts w:ascii="Garamond" w:hAnsi="Garamond"/>
          <w:b/>
          <w:caps/>
          <w:sz w:val="32"/>
          <w:szCs w:val="32"/>
          <w:u w:val="single"/>
        </w:rPr>
        <w:br/>
      </w:r>
    </w:p>
    <w:p w:rsidR="00257C3E" w:rsidRPr="00406420" w:rsidRDefault="00B27488" w:rsidP="00A45650">
      <w:pPr>
        <w:spacing w:after="0" w:line="240" w:lineRule="auto"/>
        <w:jc w:val="center"/>
        <w:rPr>
          <w:rFonts w:ascii="Garamond" w:hAnsi="Garamond"/>
          <w:b/>
          <w:caps/>
          <w:sz w:val="32"/>
          <w:szCs w:val="32"/>
          <w:u w:val="single"/>
        </w:rPr>
      </w:pPr>
      <w:r>
        <w:rPr>
          <w:rFonts w:ascii="Garamond" w:hAnsi="Garamond"/>
          <w:b/>
          <w:caps/>
          <w:sz w:val="32"/>
          <w:szCs w:val="32"/>
          <w:u w:val="single"/>
        </w:rPr>
        <w:t xml:space="preserve">Domestic Relations </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A86E9D">
            <w:t xml:space="preserve">Expedited </w:t>
          </w:r>
          <w:r w:rsidR="00B27488">
            <w:t>Discovery Disputes</w:t>
          </w:r>
          <w:r w:rsidR="00AD33F7" w:rsidRPr="009E2729">
            <w:t xml:space="preserve"> </w:t>
          </w:r>
          <w:r w:rsidRPr="009E2729">
            <w:ptab w:relativeTo="margin" w:alignment="right" w:leader="dot"/>
          </w:r>
          <w:r w:rsidR="003663D1">
            <w:rPr>
              <w:bCs/>
            </w:rPr>
            <w:t>2</w:t>
          </w:r>
        </w:p>
        <w:p w:rsidR="00657FEC" w:rsidRDefault="00657FEC" w:rsidP="009E2729">
          <w:pPr>
            <w:pStyle w:val="TOC1"/>
          </w:pPr>
          <w:r>
            <w:t xml:space="preserve">II. </w:t>
          </w:r>
          <w:r w:rsidR="00275992">
            <w:t>Motions Practice</w:t>
          </w:r>
          <w:r>
            <w:t xml:space="preserve"> </w:t>
          </w:r>
          <w:r w:rsidRPr="009E2729">
            <w:ptab w:relativeTo="margin" w:alignment="right" w:leader="dot"/>
          </w:r>
          <w:r w:rsidR="00D35F8A">
            <w:t>3</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D35F8A">
            <w:rPr>
              <w:rFonts w:ascii="Garamond" w:hAnsi="Garamond"/>
              <w:sz w:val="24"/>
              <w:szCs w:val="24"/>
            </w:rPr>
            <w:t>3</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proofErr w:type="spellStart"/>
          <w:r w:rsidR="004D4C0A">
            <w:rPr>
              <w:rFonts w:ascii="Garamond" w:hAnsi="Garamond"/>
              <w:i/>
              <w:sz w:val="24"/>
              <w:szCs w:val="24"/>
            </w:rPr>
            <w:t>Shreck</w:t>
          </w:r>
          <w:proofErr w:type="spellEnd"/>
          <w:r w:rsidRPr="00FF406A">
            <w:rPr>
              <w:rFonts w:ascii="Garamond" w:hAnsi="Garamond"/>
              <w:i/>
              <w:sz w:val="24"/>
              <w:szCs w:val="24"/>
            </w:rPr>
            <w:t xml:space="preserve"> Motions</w:t>
          </w:r>
          <w:r w:rsidRPr="00FF406A">
            <w:rPr>
              <w:rFonts w:ascii="Garamond" w:hAnsi="Garamond"/>
              <w:sz w:val="24"/>
              <w:szCs w:val="24"/>
            </w:rPr>
            <w:t>)</w:t>
          </w:r>
          <w:r w:rsidRPr="00275992">
            <w:rPr>
              <w:rFonts w:ascii="Garamond" w:hAnsi="Garamond"/>
              <w:sz w:val="24"/>
              <w:szCs w:val="24"/>
            </w:rPr>
            <w:ptab w:relativeTo="margin" w:alignment="right" w:leader="dot"/>
          </w:r>
          <w:r w:rsidR="00D35F8A">
            <w:rPr>
              <w:rFonts w:ascii="Garamond" w:hAnsi="Garamond"/>
              <w:sz w:val="24"/>
              <w:szCs w:val="24"/>
            </w:rPr>
            <w:t>3</w:t>
          </w:r>
        </w:p>
        <w:p w:rsidR="00DA6A11" w:rsidRDefault="00FF406A" w:rsidP="00FF406A">
          <w:pPr>
            <w:pStyle w:val="TOC1"/>
          </w:pPr>
          <w:r>
            <w:t>I</w:t>
          </w:r>
          <w:r w:rsidR="0094564C">
            <w:t>II</w:t>
          </w:r>
          <w:r>
            <w:t xml:space="preserve">. </w:t>
          </w:r>
          <w:r w:rsidR="00DA6A11">
            <w:t xml:space="preserve">Pretrial Conference </w:t>
          </w:r>
          <w:r w:rsidR="00DA6A11" w:rsidRPr="009E2729">
            <w:ptab w:relativeTo="margin" w:alignment="right" w:leader="dot"/>
          </w:r>
          <w:r w:rsidR="00DA6A11">
            <w:t>3</w:t>
          </w:r>
        </w:p>
        <w:p w:rsidR="00DA6A11" w:rsidRDefault="00DA6A11" w:rsidP="00FF406A">
          <w:pPr>
            <w:pStyle w:val="TOC1"/>
          </w:pPr>
          <w:r>
            <w:t>I</w:t>
          </w:r>
          <w:r>
            <w:t>V</w:t>
          </w:r>
          <w:r>
            <w:t xml:space="preserve">. </w:t>
          </w:r>
          <w:r>
            <w:t>Permanent Orders / Evidentiary Hearing</w:t>
          </w:r>
          <w:r>
            <w:t xml:space="preserve"> </w:t>
          </w:r>
          <w:r w:rsidRPr="009E2729">
            <w:ptab w:relativeTo="margin" w:alignment="right" w:leader="dot"/>
          </w:r>
          <w:r>
            <w:t>3</w:t>
          </w:r>
        </w:p>
        <w:p w:rsidR="00FF406A" w:rsidRDefault="00DA6A11" w:rsidP="00FF406A">
          <w:pPr>
            <w:pStyle w:val="TOC1"/>
          </w:pPr>
          <w:r>
            <w:t xml:space="preserve">V. Witnesses &amp; </w:t>
          </w:r>
          <w:r w:rsidR="00D35F8A">
            <w:t>Exhibits</w:t>
          </w:r>
          <w:r w:rsidR="00B27488">
            <w:t xml:space="preserve"> </w:t>
          </w:r>
          <w:r w:rsidR="00FF406A" w:rsidRPr="009E2729">
            <w:ptab w:relativeTo="margin" w:alignment="right" w:leader="dot"/>
          </w:r>
          <w:r w:rsidR="008939C6">
            <w:t>4</w:t>
          </w:r>
        </w:p>
        <w:p w:rsidR="00DC7239" w:rsidRPr="00C26125" w:rsidRDefault="00DC7239" w:rsidP="00DC7239">
          <w:pPr>
            <w:pStyle w:val="TOC3"/>
            <w:ind w:left="0"/>
            <w:rPr>
              <w:rFonts w:ascii="Garamond" w:hAnsi="Garamond"/>
              <w:b/>
              <w:sz w:val="24"/>
              <w:szCs w:val="24"/>
            </w:rPr>
          </w:pPr>
          <w:r>
            <w:rPr>
              <w:rFonts w:ascii="Garamond" w:hAnsi="Garamond"/>
              <w:b/>
              <w:sz w:val="24"/>
              <w:szCs w:val="24"/>
            </w:rPr>
            <w:t>V</w:t>
          </w:r>
          <w:r w:rsidR="00DA6A11">
            <w:rPr>
              <w:rFonts w:ascii="Garamond" w:hAnsi="Garamond"/>
              <w:b/>
              <w:sz w:val="24"/>
              <w:szCs w:val="24"/>
            </w:rPr>
            <w:t>I</w:t>
          </w:r>
          <w:r>
            <w:rPr>
              <w:rFonts w:ascii="Garamond" w:hAnsi="Garamond"/>
              <w:b/>
              <w:sz w:val="24"/>
              <w:szCs w:val="24"/>
            </w:rPr>
            <w:t>. Miscellaneous</w:t>
          </w:r>
          <w:r w:rsidRPr="00C26125">
            <w:rPr>
              <w:rFonts w:ascii="Garamond" w:hAnsi="Garamond"/>
              <w:b/>
              <w:sz w:val="24"/>
              <w:szCs w:val="24"/>
            </w:rPr>
            <w:t xml:space="preserve"> </w:t>
          </w:r>
          <w:r w:rsidRPr="00C26125">
            <w:rPr>
              <w:b/>
            </w:rPr>
            <w:ptab w:relativeTo="margin" w:alignment="right" w:leader="dot"/>
          </w:r>
          <w:r w:rsidR="00D35F8A">
            <w:rPr>
              <w:rFonts w:ascii="Garamond" w:hAnsi="Garamond"/>
              <w:b/>
              <w:sz w:val="24"/>
              <w:szCs w:val="24"/>
            </w:rPr>
            <w:t>5</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D35F8A">
            <w:rPr>
              <w:rFonts w:ascii="Garamond" w:hAnsi="Garamond"/>
              <w:sz w:val="24"/>
              <w:szCs w:val="24"/>
            </w:rPr>
            <w:t>5</w:t>
          </w:r>
        </w:p>
        <w:p w:rsidR="00FF406A" w:rsidRPr="00C26125" w:rsidRDefault="00DF0C85" w:rsidP="00FF406A">
          <w:pPr>
            <w:pStyle w:val="TOC3"/>
            <w:ind w:left="0"/>
            <w:rPr>
              <w:rFonts w:ascii="Garamond" w:hAnsi="Garamond"/>
              <w:b/>
              <w:sz w:val="24"/>
              <w:szCs w:val="24"/>
            </w:rPr>
          </w:pPr>
          <w:r>
            <w:rPr>
              <w:rFonts w:ascii="Garamond" w:hAnsi="Garamond"/>
              <w:b/>
              <w:sz w:val="24"/>
              <w:szCs w:val="24"/>
            </w:rPr>
            <w:t>V</w:t>
          </w:r>
          <w:r w:rsidR="00DA6A11">
            <w:rPr>
              <w:rFonts w:ascii="Garamond" w:hAnsi="Garamond"/>
              <w:b/>
              <w:sz w:val="24"/>
              <w:szCs w:val="24"/>
            </w:rPr>
            <w:t>II</w:t>
          </w:r>
          <w:r>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D35F8A">
            <w:rPr>
              <w:rFonts w:ascii="Garamond" w:hAnsi="Garamond"/>
              <w:b/>
              <w:sz w:val="24"/>
              <w:szCs w:val="24"/>
            </w:rPr>
            <w:t>6</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D35F8A">
            <w:rPr>
              <w:rFonts w:ascii="Garamond" w:hAnsi="Garamond"/>
              <w:sz w:val="24"/>
              <w:szCs w:val="24"/>
            </w:rPr>
            <w:t>6</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Exhibit List</w:t>
          </w:r>
          <w:r w:rsidR="004C7574" w:rsidRPr="00275992">
            <w:rPr>
              <w:rFonts w:ascii="Garamond" w:hAnsi="Garamond"/>
              <w:sz w:val="24"/>
              <w:szCs w:val="24"/>
            </w:rPr>
            <w:ptab w:relativeTo="margin" w:alignment="right" w:leader="dot"/>
          </w:r>
          <w:r w:rsidR="00D35F8A">
            <w:rPr>
              <w:rFonts w:ascii="Garamond" w:hAnsi="Garamond"/>
              <w:sz w:val="24"/>
              <w:szCs w:val="24"/>
            </w:rPr>
            <w:t>7</w:t>
          </w:r>
        </w:p>
        <w:p w:rsidR="0095482B" w:rsidRDefault="007631DD" w:rsidP="0095482B"/>
      </w:sdtContent>
    </w:sdt>
    <w:p w:rsidR="0094564C" w:rsidRDefault="0094564C" w:rsidP="0094564C">
      <w:pPr>
        <w:pStyle w:val="ListParagraph"/>
        <w:contextualSpacing/>
        <w:rPr>
          <w:rFonts w:ascii="Garamond" w:hAnsi="Garamond"/>
          <w:b/>
          <w:caps/>
          <w:sz w:val="24"/>
          <w:szCs w:val="24"/>
        </w:rPr>
      </w:pPr>
    </w:p>
    <w:p w:rsidR="00147E89" w:rsidRPr="00E526F7" w:rsidRDefault="00147E89" w:rsidP="00E526F7">
      <w:pPr>
        <w:contextualSpacing/>
        <w:rPr>
          <w:rFonts w:ascii="Garamond" w:hAnsi="Garamond"/>
          <w:b/>
          <w:caps/>
          <w:sz w:val="24"/>
          <w:szCs w:val="24"/>
        </w:rPr>
      </w:pPr>
    </w:p>
    <w:p w:rsidR="00833DD2" w:rsidRPr="00E526F7" w:rsidRDefault="00833DD2" w:rsidP="00E526F7">
      <w:pPr>
        <w:spacing w:after="0" w:line="480" w:lineRule="auto"/>
        <w:ind w:firstLine="720"/>
        <w:contextualSpacing/>
        <w:rPr>
          <w:rFonts w:ascii="Garamond" w:hAnsi="Garamond"/>
          <w:caps/>
          <w:sz w:val="24"/>
          <w:szCs w:val="24"/>
        </w:rPr>
      </w:pPr>
      <w:r w:rsidRPr="00E526F7">
        <w:rPr>
          <w:rFonts w:ascii="Garamond" w:hAnsi="Garamond"/>
          <w:sz w:val="24"/>
          <w:szCs w:val="24"/>
        </w:rPr>
        <w:lastRenderedPageBreak/>
        <w:t>Rule 16.2 of the Colorado Rules of Civil Procedure governs all cases under Articles 10, 11, and 13 of Title 14 of the Colorado Revised Statutes. Colo. R. Civ. P. 16.2(a). The following procedures supplement case management of such cases or proceedings to ensure “the just, speedy, and inexpensive determination of every action” or proceeding. Colo. R. Civ. P. 1(a).</w:t>
      </w:r>
    </w:p>
    <w:p w:rsidR="00414DD8" w:rsidRPr="00E526F7" w:rsidRDefault="006D7FEB"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 xml:space="preserve">Expedited </w:t>
      </w:r>
      <w:r w:rsidR="00B27488" w:rsidRPr="00E526F7">
        <w:rPr>
          <w:rFonts w:ascii="Garamond" w:hAnsi="Garamond"/>
          <w:b/>
          <w:caps/>
          <w:sz w:val="24"/>
          <w:szCs w:val="24"/>
        </w:rPr>
        <w:t>D</w:t>
      </w:r>
      <w:r w:rsidRPr="00E526F7">
        <w:rPr>
          <w:rFonts w:ascii="Garamond" w:hAnsi="Garamond"/>
          <w:b/>
          <w:caps/>
          <w:sz w:val="24"/>
          <w:szCs w:val="24"/>
        </w:rPr>
        <w:t>iscovery Dispute Schedule</w:t>
      </w:r>
    </w:p>
    <w:p w:rsidR="00833DD2" w:rsidRPr="00E526F7" w:rsidRDefault="00833DD2" w:rsidP="00DA6A11">
      <w:pPr>
        <w:widowControl w:val="0"/>
        <w:spacing w:after="0" w:line="480" w:lineRule="auto"/>
        <w:ind w:firstLine="720"/>
        <w:contextualSpacing/>
        <w:rPr>
          <w:rFonts w:ascii="Garamond" w:hAnsi="Garamond"/>
          <w:sz w:val="24"/>
          <w:szCs w:val="24"/>
        </w:rPr>
      </w:pPr>
      <w:bookmarkStart w:id="0" w:name="_Hlk4489733"/>
      <w:r w:rsidRPr="00E526F7">
        <w:rPr>
          <w:rFonts w:ascii="Garamond" w:hAnsi="Garamond"/>
          <w:sz w:val="24"/>
          <w:szCs w:val="24"/>
        </w:rPr>
        <w:t>The Court expects full compliance with the instructions contained herein. A “discovery dispute” means a disagreement encompassing any issues arising under Colo. R. Civ. P. 26, 30, 33, 34, 35, 36, 37, and 45.</w:t>
      </w:r>
      <w:r w:rsidRPr="00E526F7">
        <w:rPr>
          <w:rFonts w:ascii="Garamond" w:hAnsi="Garamond"/>
          <w:b/>
          <w:sz w:val="24"/>
          <w:szCs w:val="24"/>
        </w:rPr>
        <w:t xml:space="preserve"> </w:t>
      </w:r>
      <w:r w:rsidRPr="00E526F7">
        <w:rPr>
          <w:rFonts w:ascii="Garamond" w:hAnsi="Garamond"/>
          <w:sz w:val="24"/>
          <w:szCs w:val="24"/>
        </w:rPr>
        <w:t>The Court is aware that in its assigned hearings few, if any, discovery disputes should remain outstanding. Other cases or proceedings may be assigned to the undersigned at a different stage. In any event, in any case or proceeding the parties shall follow the following procedures.</w:t>
      </w:r>
    </w:p>
    <w:p w:rsidR="00FF406A" w:rsidRPr="00E526F7" w:rsidRDefault="00FF406A" w:rsidP="00E526F7">
      <w:pPr>
        <w:widowControl w:val="0"/>
        <w:spacing w:after="0" w:line="480" w:lineRule="auto"/>
        <w:ind w:firstLine="720"/>
        <w:contextualSpacing/>
        <w:rPr>
          <w:rFonts w:ascii="Garamond" w:hAnsi="Garamond"/>
          <w:sz w:val="24"/>
          <w:szCs w:val="24"/>
        </w:rPr>
      </w:pPr>
      <w:bookmarkStart w:id="1" w:name="_Hlk531252263"/>
      <w:r w:rsidRPr="00E526F7">
        <w:rPr>
          <w:rFonts w:ascii="Garamond" w:hAnsi="Garamond"/>
          <w:b/>
          <w:sz w:val="24"/>
          <w:szCs w:val="24"/>
        </w:rPr>
        <w:t>The Court does not accept written disputed discovery motions.</w:t>
      </w:r>
      <w:r w:rsidRPr="00E526F7">
        <w:rPr>
          <w:rFonts w:ascii="Garamond" w:hAnsi="Garamond"/>
          <w:sz w:val="24"/>
          <w:szCs w:val="24"/>
        </w:rPr>
        <w:t xml:space="preserve"> </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chart, the disputed discovery at issue, the disputed responses to opposing counsel, and the parties’ conferral correspondence or emails to the Court’s Clerk at Jessica.Wichman@judicial.state.co.us. The parties are further directed to contact the Court’s Clerk at (970) 494-3610 if they wish to set a hearing on the dispute. </w:t>
      </w:r>
      <w:r w:rsidRPr="00E526F7">
        <w:rPr>
          <w:rFonts w:ascii="Garamond" w:hAnsi="Garamond"/>
          <w:b/>
          <w:sz w:val="24"/>
          <w:szCs w:val="24"/>
        </w:rPr>
        <w:t>The parties shall submit the required materials no later than two days before the discovery dispute hearing and at least seven days before trial</w:t>
      </w:r>
      <w:r w:rsidRPr="00E526F7">
        <w:rPr>
          <w:rFonts w:ascii="Garamond" w:hAnsi="Garamond"/>
          <w:sz w:val="24"/>
          <w:szCs w:val="24"/>
        </w:rPr>
        <w:t>.</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The Court expects counsel to confer in a meaningful way in writing, and by telephone or in person to try to resolve any discovery dispute. An exchange of emails is not </w:t>
      </w:r>
      <w:proofErr w:type="gramStart"/>
      <w:r w:rsidRPr="00E526F7">
        <w:rPr>
          <w:rFonts w:ascii="Garamond" w:hAnsi="Garamond"/>
          <w:sz w:val="24"/>
          <w:szCs w:val="24"/>
        </w:rPr>
        <w:t>sufficient</w:t>
      </w:r>
      <w:proofErr w:type="gramEnd"/>
      <w:r w:rsidRPr="00E526F7">
        <w:rPr>
          <w:rFonts w:ascii="Garamond" w:hAnsi="Garamond"/>
          <w:sz w:val="24"/>
          <w:szCs w:val="24"/>
        </w:rPr>
        <w:t xml:space="preserve">. If counsel cannot resolve the dispute, the Court will address all discovery disputes with a discovery hearing. The parties are directed to contact the Court’s Clerk at the number above if they wish to set a </w:t>
      </w:r>
      <w:r w:rsidRPr="00E526F7">
        <w:rPr>
          <w:rFonts w:ascii="Garamond" w:hAnsi="Garamond"/>
          <w:sz w:val="24"/>
          <w:szCs w:val="24"/>
        </w:rPr>
        <w:lastRenderedPageBreak/>
        <w:t xml:space="preserve">discovery hearing. </w:t>
      </w:r>
      <w:r w:rsidRPr="00E526F7">
        <w:rPr>
          <w:rFonts w:ascii="Garamond" w:hAnsi="Garamond"/>
          <w:b/>
          <w:sz w:val="24"/>
          <w:szCs w:val="24"/>
        </w:rPr>
        <w:t>The parties may appear by telephone.</w:t>
      </w:r>
    </w:p>
    <w:p w:rsidR="00833DD2" w:rsidRPr="00E526F7" w:rsidRDefault="00833DD2" w:rsidP="00E526F7">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w:t>
      </w:r>
      <w:r w:rsidRPr="00E526F7">
        <w:rPr>
          <w:rFonts w:ascii="Garamond" w:hAnsi="Garamond"/>
          <w:sz w:val="24"/>
          <w:szCs w:val="24"/>
          <w:u w:val="single"/>
        </w:rPr>
        <w:t xml:space="preserve">one </w:t>
      </w:r>
      <w:r w:rsidR="00880BB4" w:rsidRPr="00E526F7">
        <w:rPr>
          <w:rFonts w:ascii="Garamond" w:hAnsi="Garamond"/>
          <w:sz w:val="24"/>
          <w:szCs w:val="24"/>
          <w:u w:val="single"/>
        </w:rPr>
        <w:t xml:space="preserve">business </w:t>
      </w:r>
      <w:r w:rsidRPr="00E526F7">
        <w:rPr>
          <w:rFonts w:ascii="Garamond" w:hAnsi="Garamond"/>
          <w:sz w:val="24"/>
          <w:szCs w:val="24"/>
          <w:u w:val="single"/>
        </w:rPr>
        <w:t>day</w:t>
      </w:r>
      <w:r w:rsidRPr="00E526F7">
        <w:rPr>
          <w:rFonts w:ascii="Garamond" w:hAnsi="Garamond"/>
          <w:sz w:val="24"/>
          <w:szCs w:val="24"/>
        </w:rPr>
        <w:t xml:space="preserve">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bookmarkEnd w:id="1"/>
    <w:bookmarkEnd w:id="0"/>
    <w:p w:rsidR="009A7D93" w:rsidRPr="00E526F7" w:rsidRDefault="00135E9F"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Motions Practice</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In general, Colo. R. Civ. P. 16.2(c)(4) governs motion practice in a domestic-relations action or proceeding. To ensure appropriate and active case management and the just, speedy, and inexpensive determination of all matters assigned to this Court, Colo. R. Civ. P. 16.2(b), the following deadlines shall apply to motions that this Court will determine. Regarding determination of motions under Colo. R. Civ. P. 121, § 1-15, the Court interprets the duty to confer as requiring moving parties to give non-moving parties </w:t>
      </w:r>
      <w:r w:rsidRPr="00E526F7">
        <w:rPr>
          <w:rFonts w:ascii="Garamond" w:hAnsi="Garamond"/>
          <w:sz w:val="24"/>
          <w:szCs w:val="24"/>
          <w:u w:val="single"/>
        </w:rPr>
        <w:t>at least one business day</w:t>
      </w:r>
      <w:r w:rsidRPr="00E526F7">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E526F7" w:rsidRDefault="00DF0C85" w:rsidP="00E526F7">
      <w:pPr>
        <w:pStyle w:val="ListParagraph"/>
        <w:numPr>
          <w:ilvl w:val="1"/>
          <w:numId w:val="1"/>
        </w:numPr>
        <w:spacing w:line="480" w:lineRule="auto"/>
        <w:ind w:left="360"/>
        <w:contextualSpacing/>
        <w:jc w:val="center"/>
        <w:rPr>
          <w:rFonts w:ascii="Garamond" w:hAnsi="Garamond"/>
          <w:sz w:val="24"/>
          <w:szCs w:val="24"/>
        </w:rPr>
      </w:pPr>
      <w:bookmarkStart w:id="2" w:name="_Hlk4489750"/>
      <w:r w:rsidRPr="00E526F7">
        <w:rPr>
          <w:rFonts w:ascii="Garamond" w:hAnsi="Garamond"/>
          <w:b/>
          <w:sz w:val="24"/>
          <w:szCs w:val="24"/>
        </w:rPr>
        <w:t xml:space="preserve">Motions </w:t>
      </w:r>
      <w:proofErr w:type="gramStart"/>
      <w:r w:rsidRPr="00E526F7">
        <w:rPr>
          <w:rFonts w:ascii="Garamond" w:hAnsi="Garamond"/>
          <w:b/>
          <w:i/>
          <w:sz w:val="24"/>
          <w:szCs w:val="24"/>
        </w:rPr>
        <w:t>In</w:t>
      </w:r>
      <w:proofErr w:type="gramEnd"/>
      <w:r w:rsidRPr="00E526F7">
        <w:rPr>
          <w:rFonts w:ascii="Garamond" w:hAnsi="Garamond"/>
          <w:b/>
          <w:i/>
          <w:sz w:val="24"/>
          <w:szCs w:val="24"/>
        </w:rPr>
        <w:t xml:space="preserve"> Limine</w:t>
      </w:r>
    </w:p>
    <w:p w:rsidR="00DF0C85" w:rsidRDefault="00DF0C85" w:rsidP="00DA6A11">
      <w:pPr>
        <w:widowControl w:val="0"/>
        <w:spacing w:after="0" w:line="480" w:lineRule="auto"/>
        <w:ind w:firstLine="720"/>
        <w:contextualSpacing/>
        <w:rPr>
          <w:rFonts w:ascii="Garamond" w:hAnsi="Garamond"/>
          <w:sz w:val="24"/>
          <w:szCs w:val="24"/>
        </w:rPr>
      </w:pPr>
      <w:r w:rsidRPr="00E526F7">
        <w:rPr>
          <w:rFonts w:ascii="Garamond" w:hAnsi="Garamond"/>
          <w:sz w:val="24"/>
          <w:szCs w:val="24"/>
        </w:rPr>
        <w:t xml:space="preserve">Motions </w:t>
      </w:r>
      <w:r w:rsidRPr="00E526F7">
        <w:rPr>
          <w:rFonts w:ascii="Garamond" w:hAnsi="Garamond"/>
          <w:i/>
          <w:sz w:val="24"/>
          <w:szCs w:val="24"/>
        </w:rPr>
        <w:t xml:space="preserve">in </w:t>
      </w:r>
      <w:proofErr w:type="spellStart"/>
      <w:r w:rsidRPr="00E526F7">
        <w:rPr>
          <w:rFonts w:ascii="Garamond" w:hAnsi="Garamond"/>
          <w:i/>
          <w:sz w:val="24"/>
          <w:szCs w:val="24"/>
        </w:rPr>
        <w:t>limine</w:t>
      </w:r>
      <w:proofErr w:type="spellEnd"/>
      <w:r w:rsidRPr="00E526F7">
        <w:rPr>
          <w:rFonts w:ascii="Garamond" w:hAnsi="Garamond"/>
          <w:sz w:val="24"/>
          <w:szCs w:val="24"/>
        </w:rPr>
        <w:t xml:space="preserve"> are discouraged if the Court needs to hear evidence at trial to resolve them. If a party files a motion </w:t>
      </w:r>
      <w:r w:rsidRPr="00E526F7">
        <w:rPr>
          <w:rFonts w:ascii="Garamond" w:hAnsi="Garamond"/>
          <w:i/>
          <w:sz w:val="24"/>
          <w:szCs w:val="24"/>
        </w:rPr>
        <w:t xml:space="preserve">in </w:t>
      </w:r>
      <w:proofErr w:type="spellStart"/>
      <w:r w:rsidRPr="00E526F7">
        <w:rPr>
          <w:rFonts w:ascii="Garamond" w:hAnsi="Garamond"/>
          <w:i/>
          <w:sz w:val="24"/>
          <w:szCs w:val="24"/>
        </w:rPr>
        <w:t>limine</w:t>
      </w:r>
      <w:proofErr w:type="spellEnd"/>
      <w:r w:rsidRPr="00E526F7">
        <w:rPr>
          <w:rFonts w:ascii="Garamond" w:hAnsi="Garamond"/>
          <w:sz w:val="24"/>
          <w:szCs w:val="24"/>
        </w:rPr>
        <w:t xml:space="preserve">, it is due </w:t>
      </w:r>
      <w:r w:rsidRPr="00E526F7">
        <w:rPr>
          <w:rFonts w:ascii="Garamond" w:hAnsi="Garamond"/>
          <w:b/>
          <w:sz w:val="24"/>
          <w:szCs w:val="24"/>
        </w:rPr>
        <w:t xml:space="preserve">no later than </w:t>
      </w:r>
      <w:r w:rsidR="006D7FEB" w:rsidRPr="00E526F7">
        <w:rPr>
          <w:rFonts w:ascii="Garamond" w:hAnsi="Garamond"/>
          <w:b/>
          <w:sz w:val="24"/>
          <w:szCs w:val="24"/>
        </w:rPr>
        <w:t>seven</w:t>
      </w:r>
      <w:r w:rsidRPr="00E526F7">
        <w:rPr>
          <w:rFonts w:ascii="Garamond" w:hAnsi="Garamond"/>
          <w:b/>
          <w:sz w:val="24"/>
          <w:szCs w:val="24"/>
        </w:rPr>
        <w:t xml:space="preserve"> days</w:t>
      </w:r>
      <w:r w:rsidRPr="00E526F7">
        <w:rPr>
          <w:rFonts w:ascii="Garamond" w:hAnsi="Garamond"/>
          <w:sz w:val="24"/>
          <w:szCs w:val="24"/>
        </w:rPr>
        <w:t xml:space="preserve"> before the trial. </w:t>
      </w:r>
    </w:p>
    <w:p w:rsidR="00880BB4" w:rsidRPr="00E526F7" w:rsidRDefault="00880BB4" w:rsidP="00DA6A11">
      <w:pPr>
        <w:widowControl w:val="0"/>
        <w:spacing w:after="0" w:line="480" w:lineRule="auto"/>
        <w:ind w:firstLine="720"/>
        <w:contextualSpacing/>
        <w:rPr>
          <w:rFonts w:ascii="Garamond" w:hAnsi="Garamond"/>
          <w:sz w:val="24"/>
          <w:szCs w:val="24"/>
        </w:rPr>
      </w:pPr>
    </w:p>
    <w:p w:rsidR="00C76DD4" w:rsidRPr="00E526F7" w:rsidRDefault="00C76DD4" w:rsidP="00E526F7">
      <w:pPr>
        <w:pStyle w:val="ListParagraph"/>
        <w:numPr>
          <w:ilvl w:val="1"/>
          <w:numId w:val="1"/>
        </w:numPr>
        <w:spacing w:line="480" w:lineRule="auto"/>
        <w:ind w:left="360"/>
        <w:contextualSpacing/>
        <w:jc w:val="center"/>
        <w:rPr>
          <w:rFonts w:ascii="Garamond" w:hAnsi="Garamond"/>
          <w:b/>
          <w:sz w:val="24"/>
          <w:szCs w:val="24"/>
        </w:rPr>
      </w:pPr>
      <w:bookmarkStart w:id="3" w:name="_Hlk4489777"/>
      <w:bookmarkEnd w:id="2"/>
      <w:r w:rsidRPr="00E526F7">
        <w:rPr>
          <w:rFonts w:ascii="Garamond" w:hAnsi="Garamond"/>
          <w:b/>
          <w:sz w:val="24"/>
          <w:szCs w:val="24"/>
        </w:rPr>
        <w:lastRenderedPageBreak/>
        <w:t>Procedures for Rule 702 (</w:t>
      </w:r>
      <w:proofErr w:type="spellStart"/>
      <w:r w:rsidRPr="00E526F7">
        <w:rPr>
          <w:rFonts w:ascii="Garamond" w:hAnsi="Garamond"/>
          <w:b/>
          <w:i/>
          <w:sz w:val="24"/>
          <w:szCs w:val="24"/>
        </w:rPr>
        <w:t>Shreck</w:t>
      </w:r>
      <w:proofErr w:type="spellEnd"/>
      <w:r w:rsidRPr="00E526F7">
        <w:rPr>
          <w:rFonts w:ascii="Garamond" w:hAnsi="Garamond"/>
          <w:b/>
          <w:sz w:val="24"/>
          <w:szCs w:val="24"/>
        </w:rPr>
        <w:t xml:space="preserve"> Motions)</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All Colo. R. Civ. P. 702 or </w:t>
      </w:r>
      <w:proofErr w:type="spellStart"/>
      <w:r w:rsidRPr="00E526F7">
        <w:rPr>
          <w:rFonts w:ascii="Garamond" w:hAnsi="Garamond"/>
          <w:i/>
          <w:sz w:val="24"/>
          <w:szCs w:val="24"/>
        </w:rPr>
        <w:t>Shreck</w:t>
      </w:r>
      <w:proofErr w:type="spellEnd"/>
      <w:r w:rsidRPr="00E526F7">
        <w:rPr>
          <w:rFonts w:ascii="Garamond" w:hAnsi="Garamond"/>
          <w:i/>
          <w:sz w:val="24"/>
          <w:szCs w:val="24"/>
        </w:rPr>
        <w:t xml:space="preserve"> </w:t>
      </w:r>
      <w:r w:rsidRPr="00E526F7">
        <w:rPr>
          <w:rFonts w:ascii="Garamond" w:hAnsi="Garamond"/>
          <w:sz w:val="24"/>
          <w:szCs w:val="24"/>
        </w:rPr>
        <w:t xml:space="preserve">motions must be filed </w:t>
      </w:r>
      <w:r w:rsidRPr="00E526F7">
        <w:rPr>
          <w:rFonts w:ascii="Garamond" w:hAnsi="Garamond"/>
          <w:b/>
          <w:sz w:val="24"/>
          <w:szCs w:val="24"/>
        </w:rPr>
        <w:t>no later than seven days</w:t>
      </w:r>
      <w:r w:rsidRPr="00E526F7">
        <w:rPr>
          <w:rFonts w:ascii="Garamond" w:hAnsi="Garamond"/>
          <w:sz w:val="24"/>
          <w:szCs w:val="24"/>
        </w:rPr>
        <w:t xml:space="preserve"> before trial. Generally, the Court must perform its “gatekeeping” role of determining whether an expert’s testimony rests on reliable foundation. But in domestic-relations cases, because the Court is the finder of fact, that requirement is “relaxed.” </w:t>
      </w:r>
      <w:r w:rsidRPr="00E526F7">
        <w:rPr>
          <w:rFonts w:ascii="Garamond" w:hAnsi="Garamond"/>
          <w:i/>
          <w:sz w:val="24"/>
          <w:szCs w:val="24"/>
        </w:rPr>
        <w:t>See, e.g.</w:t>
      </w:r>
      <w:r w:rsidRPr="00E526F7">
        <w:rPr>
          <w:rFonts w:ascii="Garamond" w:hAnsi="Garamond"/>
          <w:sz w:val="24"/>
          <w:szCs w:val="24"/>
        </w:rPr>
        <w:t xml:space="preserve">, </w:t>
      </w:r>
      <w:r w:rsidRPr="00E526F7">
        <w:rPr>
          <w:rFonts w:ascii="Garamond" w:hAnsi="Garamond"/>
          <w:i/>
          <w:sz w:val="24"/>
          <w:szCs w:val="24"/>
        </w:rPr>
        <w:t>David E. Watson, P.C. v. United States</w:t>
      </w:r>
      <w:r w:rsidRPr="00E526F7">
        <w:rPr>
          <w:rFonts w:ascii="Garamond" w:hAnsi="Garamond"/>
          <w:sz w:val="24"/>
          <w:szCs w:val="24"/>
        </w:rPr>
        <w:t xml:space="preserve">, 668 F.3d 1008, 1015 (8th Cir. 2012) (quoting </w:t>
      </w:r>
      <w:r w:rsidRPr="00E526F7">
        <w:rPr>
          <w:rFonts w:ascii="Garamond" w:hAnsi="Garamond"/>
          <w:i/>
          <w:sz w:val="24"/>
          <w:szCs w:val="24"/>
        </w:rPr>
        <w:t>United States v. Brown</w:t>
      </w:r>
      <w:r w:rsidRPr="00E526F7">
        <w:rPr>
          <w:rFonts w:ascii="Garamond" w:hAnsi="Garamond"/>
          <w:sz w:val="24"/>
          <w:szCs w:val="24"/>
        </w:rPr>
        <w:t xml:space="preserve">, 415 F.3d 1257, 1269 (11th Cir. 2005)) (“When the district court sits as the finder of fact, ‘[t]here is less need for the gatekeeper to keep the gate when the gatekeeper is keeping the gate only for himself.’”) The Court generally takes a dim view of Colo. R. </w:t>
      </w:r>
      <w:proofErr w:type="spellStart"/>
      <w:r w:rsidRPr="00E526F7">
        <w:rPr>
          <w:rFonts w:ascii="Garamond" w:hAnsi="Garamond"/>
          <w:sz w:val="24"/>
          <w:szCs w:val="24"/>
        </w:rPr>
        <w:t>Evid</w:t>
      </w:r>
      <w:proofErr w:type="spellEnd"/>
      <w:r w:rsidRPr="00E526F7">
        <w:rPr>
          <w:rFonts w:ascii="Garamond" w:hAnsi="Garamond"/>
          <w:sz w:val="24"/>
          <w:szCs w:val="24"/>
        </w:rPr>
        <w:t>. 702 challenges to an expert’s qualifications. A party objecting to the admissibility of opinion testimony by an expert witness shall file a written motion (a “</w:t>
      </w:r>
      <w:proofErr w:type="spellStart"/>
      <w:r w:rsidRPr="00E526F7">
        <w:rPr>
          <w:rFonts w:ascii="Garamond" w:hAnsi="Garamond"/>
          <w:i/>
          <w:sz w:val="24"/>
          <w:szCs w:val="24"/>
        </w:rPr>
        <w:t>Shreck</w:t>
      </w:r>
      <w:proofErr w:type="spellEnd"/>
      <w:r w:rsidRPr="00E526F7">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C76DD4" w:rsidRPr="00E526F7"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t>1.</w:t>
      </w:r>
      <w:r w:rsidRPr="00E526F7">
        <w:rPr>
          <w:rFonts w:ascii="Garamond" w:hAnsi="Garamond"/>
          <w:sz w:val="24"/>
          <w:szCs w:val="24"/>
        </w:rPr>
        <w:tab/>
      </w:r>
      <w:r w:rsidRPr="00E526F7">
        <w:rPr>
          <w:rFonts w:ascii="Garamond" w:hAnsi="Garamond"/>
          <w:sz w:val="24"/>
          <w:szCs w:val="24"/>
          <w:u w:val="single"/>
        </w:rPr>
        <w:t>Content</w:t>
      </w:r>
      <w:r w:rsidRPr="00E526F7">
        <w:rPr>
          <w:rFonts w:ascii="Garamond" w:hAnsi="Garamond"/>
          <w:sz w:val="24"/>
          <w:szCs w:val="24"/>
        </w:rPr>
        <w:t>.</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Motions filed under Colo. R. </w:t>
      </w:r>
      <w:proofErr w:type="spellStart"/>
      <w:r w:rsidRPr="00E526F7">
        <w:rPr>
          <w:rFonts w:ascii="Garamond" w:hAnsi="Garamond"/>
          <w:sz w:val="24"/>
          <w:szCs w:val="24"/>
        </w:rPr>
        <w:t>Evid</w:t>
      </w:r>
      <w:proofErr w:type="spellEnd"/>
      <w:r w:rsidRPr="00E526F7">
        <w:rPr>
          <w:rFonts w:ascii="Garamond" w:hAnsi="Garamond"/>
          <w:sz w:val="24"/>
          <w:szCs w:val="24"/>
        </w:rPr>
        <w:t xml:space="preserve">. 702 must comply with the following requirements: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w:t>
      </w:r>
      <w:proofErr w:type="spellStart"/>
      <w:r w:rsidRPr="00E526F7">
        <w:rPr>
          <w:rFonts w:ascii="Garamond" w:hAnsi="Garamond"/>
          <w:sz w:val="24"/>
          <w:szCs w:val="24"/>
        </w:rPr>
        <w:t>i</w:t>
      </w:r>
      <w:proofErr w:type="spellEnd"/>
      <w:r w:rsidRPr="00E526F7">
        <w:rPr>
          <w:rFonts w:ascii="Garamond" w:hAnsi="Garamond"/>
          <w:sz w:val="24"/>
          <w:szCs w:val="24"/>
        </w:rPr>
        <w:t xml:space="preserve">) identify the expert witness and separately state each opinion/testimony the moving party seeks to exclude;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w:t>
      </w:r>
      <w:r w:rsidRPr="00E526F7">
        <w:rPr>
          <w:rFonts w:ascii="Garamond" w:hAnsi="Garamond"/>
          <w:sz w:val="24"/>
          <w:szCs w:val="24"/>
        </w:rPr>
        <w:t>ii</w:t>
      </w:r>
      <w:r w:rsidRPr="00E526F7">
        <w:rPr>
          <w:rFonts w:ascii="Garamond" w:hAnsi="Garamond"/>
          <w:sz w:val="24"/>
          <w:szCs w:val="24"/>
        </w:rPr>
        <w:t xml:space="preserve">) follow each opinion/testimony with the specific foundational challenge made to the opinion/testimony, e.g., relevancy, sufficiency of facts and data, methodology. Colo. R. </w:t>
      </w:r>
      <w:proofErr w:type="spellStart"/>
      <w:r w:rsidRPr="00E526F7">
        <w:rPr>
          <w:rFonts w:ascii="Garamond" w:hAnsi="Garamond"/>
          <w:sz w:val="24"/>
          <w:szCs w:val="24"/>
        </w:rPr>
        <w:t>Evid</w:t>
      </w:r>
      <w:proofErr w:type="spellEnd"/>
      <w:r w:rsidRPr="00E526F7">
        <w:rPr>
          <w:rFonts w:ascii="Garamond" w:hAnsi="Garamond"/>
          <w:sz w:val="24"/>
          <w:szCs w:val="24"/>
        </w:rPr>
        <w:t>. 702 and 703; and</w:t>
      </w:r>
    </w:p>
    <w:p w:rsidR="00C76DD4" w:rsidRDefault="00C76DD4" w:rsidP="00C76DD4">
      <w:pPr>
        <w:spacing w:after="0" w:line="480" w:lineRule="auto"/>
        <w:ind w:firstLine="720"/>
        <w:contextualSpacing/>
        <w:rPr>
          <w:rFonts w:ascii="Garamond" w:hAnsi="Garamond"/>
          <w:sz w:val="24"/>
          <w:szCs w:val="24"/>
        </w:rPr>
      </w:pPr>
      <w:r w:rsidRPr="00E526F7">
        <w:rPr>
          <w:rFonts w:ascii="Garamond" w:hAnsi="Garamond"/>
          <w:sz w:val="24"/>
          <w:szCs w:val="24"/>
        </w:rPr>
        <w:t>(</w:t>
      </w:r>
      <w:r w:rsidRPr="00E526F7">
        <w:rPr>
          <w:rFonts w:ascii="Garamond" w:hAnsi="Garamond"/>
          <w:sz w:val="24"/>
          <w:szCs w:val="24"/>
        </w:rPr>
        <w:t>iii</w:t>
      </w:r>
      <w:r w:rsidRPr="00E526F7">
        <w:rPr>
          <w:rFonts w:ascii="Garamond" w:hAnsi="Garamond"/>
          <w:sz w:val="24"/>
          <w:szCs w:val="24"/>
        </w:rPr>
        <w:t>) indicate whether an evidentiary hearing is requested, explain why such a hearing is necessary, and specify the time needed for the evidentiary hearing (assuming time is divided equally between the parties).</w:t>
      </w:r>
    </w:p>
    <w:p w:rsidR="00E526F7" w:rsidRDefault="00E526F7" w:rsidP="00C76DD4">
      <w:pPr>
        <w:spacing w:after="0" w:line="480" w:lineRule="auto"/>
        <w:ind w:firstLine="720"/>
        <w:contextualSpacing/>
        <w:rPr>
          <w:rFonts w:ascii="Garamond" w:hAnsi="Garamond"/>
          <w:sz w:val="24"/>
          <w:szCs w:val="24"/>
        </w:rPr>
      </w:pPr>
    </w:p>
    <w:p w:rsidR="00E526F7" w:rsidRPr="00E526F7" w:rsidRDefault="00E526F7" w:rsidP="00E526F7">
      <w:pPr>
        <w:spacing w:after="0" w:line="480" w:lineRule="auto"/>
        <w:ind w:firstLine="720"/>
        <w:contextualSpacing/>
        <w:rPr>
          <w:rFonts w:ascii="Garamond" w:hAnsi="Garamond"/>
          <w:sz w:val="24"/>
          <w:szCs w:val="24"/>
        </w:rPr>
      </w:pPr>
    </w:p>
    <w:p w:rsidR="00C76DD4" w:rsidRPr="00E526F7"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lastRenderedPageBreak/>
        <w:t>2.</w:t>
      </w:r>
      <w:r w:rsidRPr="00E526F7">
        <w:rPr>
          <w:rFonts w:ascii="Garamond" w:hAnsi="Garamond"/>
          <w:sz w:val="24"/>
          <w:szCs w:val="24"/>
        </w:rPr>
        <w:tab/>
      </w:r>
      <w:r w:rsidRPr="00E526F7">
        <w:rPr>
          <w:rFonts w:ascii="Garamond" w:hAnsi="Garamond"/>
          <w:sz w:val="24"/>
          <w:szCs w:val="24"/>
          <w:u w:val="single"/>
        </w:rPr>
        <w:t>Hearing</w:t>
      </w:r>
      <w:r w:rsidRPr="00E526F7">
        <w:rPr>
          <w:rFonts w:ascii="Garamond" w:hAnsi="Garamond"/>
          <w:sz w:val="24"/>
          <w:szCs w:val="24"/>
        </w:rPr>
        <w:t xml:space="preserv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Upon filing a motion, the Court in its discretion may set a hearing to determine the admissibility of the challenged opinions under the Colorado Rules of Evidence. The expert </w:t>
      </w:r>
      <w:proofErr w:type="gramStart"/>
      <w:r w:rsidRPr="00E526F7">
        <w:rPr>
          <w:rFonts w:ascii="Garamond" w:hAnsi="Garamond"/>
          <w:sz w:val="24"/>
          <w:szCs w:val="24"/>
        </w:rPr>
        <w:t>witness</w:t>
      </w:r>
      <w:proofErr w:type="gramEnd"/>
      <w:r w:rsidRPr="00E526F7">
        <w:rPr>
          <w:rFonts w:ascii="Garamond" w:hAnsi="Garamond"/>
          <w:sz w:val="24"/>
          <w:szCs w:val="24"/>
        </w:rPr>
        <w:t xml:space="preserve"> whose testimony or opinion is offered shall be present at the hearing unless the Court states otherwise.</w:t>
      </w:r>
    </w:p>
    <w:p w:rsidR="00EA565F" w:rsidRPr="00E526F7" w:rsidRDefault="00C76DD4"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pretrial conference</w:t>
      </w:r>
      <w:r w:rsidRPr="00E526F7" w:rsidDel="00C76DD4">
        <w:rPr>
          <w:rFonts w:ascii="Garamond" w:hAnsi="Garamond"/>
          <w:sz w:val="24"/>
          <w:szCs w:val="24"/>
        </w:rPr>
        <w:t xml:space="preserve"> </w:t>
      </w:r>
    </w:p>
    <w:p w:rsidR="00C76DD4" w:rsidRPr="00E526F7" w:rsidRDefault="00C76DD4" w:rsidP="00E526F7">
      <w:pPr>
        <w:spacing w:after="0" w:line="480" w:lineRule="auto"/>
        <w:ind w:firstLine="720"/>
        <w:contextualSpacing/>
        <w:rPr>
          <w:rFonts w:ascii="Garamond" w:hAnsi="Garamond"/>
          <w:sz w:val="24"/>
          <w:szCs w:val="24"/>
        </w:rPr>
      </w:pPr>
      <w:r w:rsidRPr="00E526F7">
        <w:rPr>
          <w:rFonts w:ascii="Garamond" w:hAnsi="Garamond"/>
          <w:b/>
          <w:i/>
          <w:sz w:val="24"/>
          <w:szCs w:val="24"/>
        </w:rPr>
        <w:t xml:space="preserve">Unless the pretrial conference has occurred prior to the date of this order, or as otherwise Ordered by the Court - </w:t>
      </w:r>
      <w:r w:rsidRPr="00E526F7">
        <w:rPr>
          <w:rFonts w:ascii="Garamond" w:hAnsi="Garamond"/>
          <w:sz w:val="24"/>
          <w:szCs w:val="24"/>
        </w:rPr>
        <w:t>Pursuant to Colo. R. Civ. P. 16.2(h), the parties must file the joint trial management certificate (“JTMC”) no later than seven days before the pretrial conference which shall include: (a) a list of each party’s witnesses and exhibits; (b) all stipulations or agreements; (c) all disputed issues, and (d) citation to legal authority</w:t>
      </w:r>
      <w:r w:rsidR="00E526F7">
        <w:rPr>
          <w:rFonts w:ascii="Garamond" w:hAnsi="Garamond"/>
          <w:sz w:val="24"/>
          <w:szCs w:val="24"/>
        </w:rPr>
        <w:t>, including a brief summary thereof</w:t>
      </w:r>
      <w:r w:rsidRPr="00E526F7">
        <w:rPr>
          <w:rFonts w:ascii="Garamond" w:hAnsi="Garamond"/>
          <w:sz w:val="24"/>
          <w:szCs w:val="24"/>
        </w:rPr>
        <w:t>.  Unless listed in the JTMC, issues, witnesses and exhibits will not be considered at the hearing, absent good cause.  If a JTMC is not timely filed, the permanent orders hearing may be continued. The JTMC will constitute the parties’ opening statements</w:t>
      </w:r>
      <w:r w:rsidR="00E526F7">
        <w:rPr>
          <w:rFonts w:ascii="Garamond" w:hAnsi="Garamond"/>
          <w:sz w:val="24"/>
          <w:szCs w:val="24"/>
        </w:rPr>
        <w:t>, unless the Court orders otherwise</w:t>
      </w:r>
      <w:r w:rsidRPr="00E526F7">
        <w:rPr>
          <w:rFonts w:ascii="Garamond" w:hAnsi="Garamond"/>
          <w:sz w:val="24"/>
          <w:szCs w:val="24"/>
        </w:rPr>
        <w:t xml:space="preserve">.  If property allocation is at issue, the JTMC must also include a separate Joint Spreadsheet as described below which constitutes additional stipulations of the parties and disputed issues, as to property allocation.  </w:t>
      </w:r>
    </w:p>
    <w:p w:rsidR="00132000" w:rsidRDefault="00C76DD4" w:rsidP="00E526F7">
      <w:pPr>
        <w:spacing w:after="0" w:line="480" w:lineRule="auto"/>
        <w:ind w:firstLine="720"/>
        <w:contextualSpacing/>
        <w:rPr>
          <w:rFonts w:ascii="Garamond" w:hAnsi="Garamond"/>
          <w:sz w:val="24"/>
          <w:szCs w:val="24"/>
        </w:rPr>
      </w:pPr>
      <w:r w:rsidRPr="00E526F7">
        <w:rPr>
          <w:rFonts w:ascii="Garamond" w:hAnsi="Garamond"/>
          <w:sz w:val="24"/>
          <w:szCs w:val="24"/>
        </w:rPr>
        <w:t xml:space="preserve">The parties shall provide to the Court an </w:t>
      </w:r>
      <w:r w:rsidRPr="00E526F7">
        <w:rPr>
          <w:rFonts w:ascii="Garamond" w:hAnsi="Garamond"/>
          <w:b/>
          <w:sz w:val="24"/>
          <w:szCs w:val="24"/>
        </w:rPr>
        <w:t>editable joint excel spreadsheet</w:t>
      </w:r>
      <w:r w:rsidRPr="00E526F7">
        <w:rPr>
          <w:rFonts w:ascii="Garamond" w:hAnsi="Garamond"/>
          <w:sz w:val="24"/>
          <w:szCs w:val="24"/>
        </w:rPr>
        <w:t xml:space="preserve"> detailing, with particularity, (1) in the first column to the left, all assets and debts at issue; then with Petitioner’s columns next moving right on the page, followed by Respondent’s columns; (2) reference to the specific portion of the record supporting the value; (3) titled (e.g. Joint, Husband, Wife); (4) </w:t>
      </w:r>
      <w:r w:rsidR="00E526F7">
        <w:rPr>
          <w:rFonts w:ascii="Garamond" w:hAnsi="Garamond"/>
          <w:sz w:val="24"/>
          <w:szCs w:val="24"/>
        </w:rPr>
        <w:t xml:space="preserve">Net </w:t>
      </w:r>
      <w:r w:rsidRPr="00E526F7">
        <w:rPr>
          <w:rFonts w:ascii="Garamond" w:hAnsi="Garamond"/>
          <w:sz w:val="24"/>
          <w:szCs w:val="24"/>
        </w:rPr>
        <w:t xml:space="preserve">value; (5) the non-marital value of the property; and (6) proposed disposition. </w:t>
      </w:r>
      <w:r w:rsidR="00132000" w:rsidRPr="00E526F7">
        <w:rPr>
          <w:rFonts w:ascii="Garamond" w:hAnsi="Garamond"/>
          <w:sz w:val="24"/>
          <w:szCs w:val="24"/>
        </w:rPr>
        <w:t xml:space="preserve">The parties shall use the Court-provided </w:t>
      </w:r>
      <w:r w:rsidR="00132000">
        <w:rPr>
          <w:rFonts w:ascii="Garamond" w:hAnsi="Garamond"/>
          <w:sz w:val="24"/>
          <w:szCs w:val="24"/>
        </w:rPr>
        <w:t xml:space="preserve">editable </w:t>
      </w:r>
      <w:r w:rsidR="00132000" w:rsidRPr="00E526F7">
        <w:rPr>
          <w:rFonts w:ascii="Garamond" w:hAnsi="Garamond"/>
          <w:sz w:val="24"/>
          <w:szCs w:val="24"/>
        </w:rPr>
        <w:t xml:space="preserve">excel spreadsheet available at </w:t>
      </w:r>
      <w:hyperlink r:id="rId8" w:history="1">
        <w:r w:rsidR="00132000" w:rsidRPr="001F3A02">
          <w:rPr>
            <w:rStyle w:val="Hyperlink"/>
            <w:rFonts w:ascii="Garamond" w:hAnsi="Garamond" w:cs="Arial"/>
            <w:sz w:val="24"/>
            <w:szCs w:val="24"/>
          </w:rPr>
          <w:t>https://www.courts.state.co.us/Courts/District/Local_Resources.cfm?District_ID=8</w:t>
        </w:r>
      </w:hyperlink>
      <w:r w:rsidR="00132000" w:rsidRPr="00E526F7">
        <w:rPr>
          <w:rFonts w:ascii="Garamond" w:hAnsi="Garamond"/>
          <w:sz w:val="24"/>
          <w:szCs w:val="24"/>
        </w:rPr>
        <w:t>. The parties are free to add or delete categories in the spreadsheet as appropriate.</w:t>
      </w:r>
    </w:p>
    <w:p w:rsidR="00C76DD4" w:rsidRPr="00132000" w:rsidRDefault="00C76DD4" w:rsidP="00132000">
      <w:pPr>
        <w:spacing w:after="0" w:line="480" w:lineRule="auto"/>
        <w:ind w:firstLine="720"/>
        <w:contextualSpacing/>
        <w:rPr>
          <w:rFonts w:ascii="Garamond" w:hAnsi="Garamond"/>
          <w:sz w:val="24"/>
          <w:szCs w:val="24"/>
        </w:rPr>
      </w:pPr>
      <w:r w:rsidRPr="00E526F7">
        <w:rPr>
          <w:rFonts w:ascii="Garamond" w:hAnsi="Garamond"/>
          <w:sz w:val="24"/>
          <w:szCs w:val="24"/>
        </w:rPr>
        <w:t xml:space="preserve">If an asset or debt is not included in the parties’ spreadsheets, the Court may not consider </w:t>
      </w:r>
      <w:proofErr w:type="gramStart"/>
      <w:r w:rsidRPr="00E526F7">
        <w:rPr>
          <w:rFonts w:ascii="Garamond" w:hAnsi="Garamond"/>
          <w:sz w:val="24"/>
          <w:szCs w:val="24"/>
        </w:rPr>
        <w:t>it</w:t>
      </w:r>
      <w:proofErr w:type="gramEnd"/>
      <w:r w:rsidRPr="00E526F7">
        <w:rPr>
          <w:rFonts w:ascii="Garamond" w:hAnsi="Garamond"/>
          <w:sz w:val="24"/>
          <w:szCs w:val="24"/>
        </w:rPr>
        <w:t xml:space="preserve"> and/or the permanent order hearing may be continued. </w:t>
      </w:r>
      <w:r w:rsidR="00132000" w:rsidRPr="00E526F7">
        <w:rPr>
          <w:rFonts w:ascii="Garamond" w:hAnsi="Garamond"/>
          <w:sz w:val="24"/>
          <w:szCs w:val="24"/>
        </w:rPr>
        <w:t xml:space="preserve">The entire line concerning the Spreadsheet </w:t>
      </w:r>
      <w:r w:rsidR="00132000" w:rsidRPr="00E526F7">
        <w:rPr>
          <w:rFonts w:ascii="Garamond" w:hAnsi="Garamond"/>
          <w:sz w:val="24"/>
          <w:szCs w:val="24"/>
          <w:u w:val="single"/>
        </w:rPr>
        <w:t xml:space="preserve">must </w:t>
      </w:r>
      <w:r w:rsidR="00132000" w:rsidRPr="00E526F7">
        <w:rPr>
          <w:rFonts w:ascii="Garamond" w:hAnsi="Garamond"/>
          <w:b/>
          <w:sz w:val="24"/>
          <w:szCs w:val="24"/>
          <w:u w:val="single"/>
        </w:rPr>
        <w:t>highlight in red font</w:t>
      </w:r>
      <w:r w:rsidR="00132000" w:rsidRPr="00E526F7">
        <w:rPr>
          <w:rFonts w:ascii="Garamond" w:hAnsi="Garamond"/>
          <w:sz w:val="24"/>
          <w:szCs w:val="24"/>
          <w:u w:val="single"/>
        </w:rPr>
        <w:t xml:space="preserve"> any listed item which is in dispute</w:t>
      </w:r>
      <w:r w:rsidR="00132000" w:rsidRPr="00E526F7">
        <w:rPr>
          <w:rFonts w:ascii="Garamond" w:hAnsi="Garamond"/>
          <w:sz w:val="24"/>
          <w:szCs w:val="24"/>
        </w:rPr>
        <w:t>.</w:t>
      </w:r>
      <w:r w:rsidR="00132000">
        <w:rPr>
          <w:rFonts w:ascii="Garamond" w:hAnsi="Garamond"/>
          <w:sz w:val="24"/>
          <w:szCs w:val="24"/>
        </w:rPr>
        <w:t xml:space="preserve">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The representations made in the JTMC are binding on the parties.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The parties</w:t>
      </w:r>
      <w:r w:rsidR="00132000">
        <w:rPr>
          <w:rFonts w:ascii="Garamond" w:hAnsi="Garamond"/>
          <w:sz w:val="24"/>
          <w:szCs w:val="24"/>
        </w:rPr>
        <w:t>’</w:t>
      </w:r>
      <w:r w:rsidRPr="00E526F7">
        <w:rPr>
          <w:rFonts w:ascii="Garamond" w:hAnsi="Garamond"/>
          <w:sz w:val="24"/>
          <w:szCs w:val="24"/>
        </w:rPr>
        <w:t xml:space="preserve"> signature on the JTMC is considered a request for the Court to proceed at the pretrial conference pursuant to Colo. R. Civ. P. 16.2(</w:t>
      </w:r>
      <w:proofErr w:type="spellStart"/>
      <w:r w:rsidRPr="00E526F7">
        <w:rPr>
          <w:rFonts w:ascii="Garamond" w:hAnsi="Garamond"/>
          <w:sz w:val="24"/>
          <w:szCs w:val="24"/>
        </w:rPr>
        <w:t>i</w:t>
      </w:r>
      <w:proofErr w:type="spellEnd"/>
      <w:r w:rsidRPr="00E526F7">
        <w:rPr>
          <w:rFonts w:ascii="Garamond" w:hAnsi="Garamond"/>
          <w:sz w:val="24"/>
          <w:szCs w:val="24"/>
        </w:rPr>
        <w:t xml:space="preserve">)(1) and Colo. Rev. Stat. § 13-22-301 </w:t>
      </w:r>
      <w:r w:rsidRPr="00E526F7">
        <w:rPr>
          <w:rFonts w:ascii="Garamond" w:hAnsi="Garamond"/>
          <w:i/>
          <w:sz w:val="24"/>
          <w:szCs w:val="24"/>
        </w:rPr>
        <w:t>et seq.</w:t>
      </w:r>
    </w:p>
    <w:p w:rsidR="00C76DD4" w:rsidRPr="00E526F7" w:rsidRDefault="00C76DD4" w:rsidP="00E526F7">
      <w:pPr>
        <w:spacing w:after="0" w:line="480" w:lineRule="auto"/>
        <w:ind w:firstLine="720"/>
        <w:jc w:val="both"/>
        <w:rPr>
          <w:rFonts w:ascii="Garamond" w:hAnsi="Garamond"/>
          <w:b/>
          <w:i/>
          <w:sz w:val="24"/>
          <w:szCs w:val="24"/>
          <w:u w:val="single"/>
        </w:rPr>
      </w:pPr>
      <w:r w:rsidRPr="00E526F7">
        <w:rPr>
          <w:rFonts w:ascii="Garamond" w:hAnsi="Garamond"/>
          <w:b/>
          <w:i/>
          <w:sz w:val="24"/>
          <w:szCs w:val="24"/>
          <w:u w:val="single"/>
        </w:rPr>
        <w:t>Each issue raised by a party should have a citation to legal authority in support of the parties’ position.</w:t>
      </w:r>
    </w:p>
    <w:p w:rsidR="00C76DD4" w:rsidRPr="00E526F7" w:rsidRDefault="00C76DD4" w:rsidP="00DA6A11">
      <w:pPr>
        <w:pStyle w:val="ListParagraph"/>
        <w:numPr>
          <w:ilvl w:val="0"/>
          <w:numId w:val="1"/>
        </w:numPr>
        <w:spacing w:line="480" w:lineRule="auto"/>
        <w:ind w:left="720"/>
        <w:contextualSpacing/>
        <w:jc w:val="center"/>
        <w:rPr>
          <w:rFonts w:ascii="Garamond" w:hAnsi="Garamond"/>
          <w:b/>
          <w:caps/>
          <w:sz w:val="24"/>
          <w:szCs w:val="24"/>
        </w:rPr>
      </w:pPr>
      <w:r w:rsidRPr="00DA6A11">
        <w:rPr>
          <w:rFonts w:ascii="Garamond" w:hAnsi="Garamond"/>
          <w:b/>
          <w:caps/>
          <w:sz w:val="24"/>
          <w:szCs w:val="24"/>
        </w:rPr>
        <w:t>Permanent orders/EVIDENTIARY</w:t>
      </w:r>
      <w:r w:rsidRPr="00E526F7">
        <w:rPr>
          <w:rFonts w:ascii="Garamond" w:hAnsi="Garamond"/>
          <w:b/>
          <w:caps/>
          <w:sz w:val="24"/>
          <w:szCs w:val="24"/>
        </w:rPr>
        <w:t xml:space="preserve"> hearing</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Telephone testimony will generally be allowed upon motion, especially if noted in the JTMC. </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Reports of experts including reports of a CFI or a </w:t>
      </w:r>
      <w:proofErr w:type="gramStart"/>
      <w:r w:rsidRPr="00E526F7">
        <w:rPr>
          <w:rFonts w:ascii="Garamond" w:hAnsi="Garamond"/>
          <w:sz w:val="24"/>
          <w:szCs w:val="24"/>
        </w:rPr>
        <w:t>PRE are</w:t>
      </w:r>
      <w:proofErr w:type="gramEnd"/>
      <w:r w:rsidRPr="00E526F7">
        <w:rPr>
          <w:rFonts w:ascii="Garamond" w:hAnsi="Garamond"/>
          <w:sz w:val="24"/>
          <w:szCs w:val="24"/>
        </w:rPr>
        <w:t xml:space="preserve"> admissible. A party may subpoena the Expert for cross-examination purposes, with expanded re-direct examination allowed.  Expert’s Reports must be filed with the Court by the </w:t>
      </w:r>
      <w:r w:rsidR="00930277">
        <w:rPr>
          <w:rFonts w:ascii="Garamond" w:hAnsi="Garamond"/>
          <w:sz w:val="24"/>
          <w:szCs w:val="24"/>
        </w:rPr>
        <w:t>pretrial conference</w:t>
      </w:r>
      <w:r w:rsidRPr="00E526F7">
        <w:rPr>
          <w:rFonts w:ascii="Garamond" w:hAnsi="Garamond"/>
          <w:sz w:val="24"/>
          <w:szCs w:val="24"/>
        </w:rPr>
        <w:t>.</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Children will not be allowed in the courtroom, called as witnesses, or interviewed in camera except under extraordinary circumstances, and then only upon Motion made prior to the </w:t>
      </w:r>
      <w:r w:rsidR="00930277">
        <w:rPr>
          <w:rFonts w:ascii="Garamond" w:hAnsi="Garamond"/>
          <w:sz w:val="24"/>
          <w:szCs w:val="24"/>
        </w:rPr>
        <w:t>pretrial conference</w:t>
      </w:r>
      <w:r w:rsidRPr="00E526F7">
        <w:rPr>
          <w:rFonts w:ascii="Garamond" w:hAnsi="Garamond"/>
          <w:sz w:val="24"/>
          <w:szCs w:val="24"/>
        </w:rPr>
        <w:t xml:space="preserve"> and noted in the JTMC.  Child statements to a CFI/</w:t>
      </w:r>
      <w:proofErr w:type="gramStart"/>
      <w:r w:rsidRPr="00E526F7">
        <w:rPr>
          <w:rFonts w:ascii="Garamond" w:hAnsi="Garamond"/>
          <w:sz w:val="24"/>
          <w:szCs w:val="24"/>
        </w:rPr>
        <w:t>PRE are</w:t>
      </w:r>
      <w:proofErr w:type="gramEnd"/>
      <w:r w:rsidRPr="00E526F7">
        <w:rPr>
          <w:rFonts w:ascii="Garamond" w:hAnsi="Garamond"/>
          <w:sz w:val="24"/>
          <w:szCs w:val="24"/>
        </w:rPr>
        <w:t xml:space="preserve"> generally admissible under Colo. R. </w:t>
      </w:r>
      <w:proofErr w:type="spellStart"/>
      <w:r w:rsidRPr="00E526F7">
        <w:rPr>
          <w:rFonts w:ascii="Garamond" w:hAnsi="Garamond"/>
          <w:sz w:val="24"/>
          <w:szCs w:val="24"/>
        </w:rPr>
        <w:t>Evid</w:t>
      </w:r>
      <w:proofErr w:type="spellEnd"/>
      <w:r w:rsidRPr="00E526F7">
        <w:rPr>
          <w:rFonts w:ascii="Garamond" w:hAnsi="Garamond"/>
          <w:sz w:val="24"/>
          <w:szCs w:val="24"/>
        </w:rPr>
        <w:t xml:space="preserve">. Rule 703.   </w:t>
      </w:r>
    </w:p>
    <w:p w:rsidR="00C76DD4" w:rsidRPr="00E526F7"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The parties must update Colo. R. Civ. P. 16.2 disclosures, which are more than sixty (60) days old, no later than the </w:t>
      </w:r>
      <w:r w:rsidR="00930277">
        <w:rPr>
          <w:rFonts w:ascii="Garamond" w:hAnsi="Garamond"/>
          <w:sz w:val="24"/>
          <w:szCs w:val="24"/>
        </w:rPr>
        <w:t>pretrial conference</w:t>
      </w:r>
      <w:r w:rsidRPr="00E526F7">
        <w:rPr>
          <w:rFonts w:ascii="Garamond" w:hAnsi="Garamond"/>
          <w:sz w:val="24"/>
          <w:szCs w:val="24"/>
        </w:rPr>
        <w:t xml:space="preserve">, or if the </w:t>
      </w:r>
      <w:r w:rsidR="00930277">
        <w:rPr>
          <w:rFonts w:ascii="Garamond" w:hAnsi="Garamond"/>
          <w:sz w:val="24"/>
          <w:szCs w:val="24"/>
        </w:rPr>
        <w:t>conference</w:t>
      </w:r>
      <w:r w:rsidRPr="00E526F7">
        <w:rPr>
          <w:rFonts w:ascii="Garamond" w:hAnsi="Garamond"/>
          <w:sz w:val="24"/>
          <w:szCs w:val="24"/>
        </w:rPr>
        <w:t xml:space="preserve"> is was held before the date of this order, then such updates are due no more than 4 business days prior to the permanent orders hearing. </w:t>
      </w:r>
    </w:p>
    <w:p w:rsidR="00C76DD4" w:rsidRDefault="00C76DD4" w:rsidP="00E526F7">
      <w:pPr>
        <w:pStyle w:val="ListParagraph"/>
        <w:numPr>
          <w:ilvl w:val="0"/>
          <w:numId w:val="17"/>
        </w:numPr>
        <w:tabs>
          <w:tab w:val="left" w:pos="360"/>
        </w:tabs>
        <w:spacing w:line="480" w:lineRule="auto"/>
        <w:ind w:left="0" w:firstLine="720"/>
        <w:jc w:val="both"/>
        <w:rPr>
          <w:rFonts w:ascii="Garamond" w:hAnsi="Garamond"/>
          <w:sz w:val="24"/>
          <w:szCs w:val="24"/>
        </w:rPr>
      </w:pPr>
      <w:r w:rsidRPr="00E526F7">
        <w:rPr>
          <w:rFonts w:ascii="Garamond" w:hAnsi="Garamond"/>
          <w:sz w:val="24"/>
          <w:szCs w:val="24"/>
        </w:rPr>
        <w:t xml:space="preserve">The parties must provide audio-visual equipment, if necessary.    </w:t>
      </w:r>
    </w:p>
    <w:p w:rsidR="00930277" w:rsidRPr="00930277" w:rsidRDefault="00930277" w:rsidP="00930277">
      <w:pPr>
        <w:tabs>
          <w:tab w:val="left" w:pos="360"/>
        </w:tabs>
        <w:spacing w:line="480" w:lineRule="auto"/>
        <w:jc w:val="both"/>
        <w:rPr>
          <w:rFonts w:ascii="Garamond" w:hAnsi="Garamond"/>
          <w:sz w:val="24"/>
          <w:szCs w:val="24"/>
        </w:rPr>
      </w:pPr>
    </w:p>
    <w:p w:rsidR="00C76DD4" w:rsidRPr="00930277" w:rsidRDefault="00C76DD4" w:rsidP="00E526F7">
      <w:pPr>
        <w:pStyle w:val="ListParagraph"/>
        <w:numPr>
          <w:ilvl w:val="0"/>
          <w:numId w:val="1"/>
        </w:numPr>
        <w:spacing w:line="480" w:lineRule="auto"/>
        <w:ind w:left="720"/>
        <w:contextualSpacing/>
        <w:jc w:val="center"/>
        <w:rPr>
          <w:rFonts w:ascii="Garamond" w:hAnsi="Garamond"/>
          <w:b/>
          <w:caps/>
          <w:sz w:val="24"/>
          <w:szCs w:val="24"/>
        </w:rPr>
      </w:pPr>
      <w:r w:rsidRPr="00E526F7">
        <w:rPr>
          <w:rFonts w:ascii="Garamond" w:hAnsi="Garamond"/>
          <w:b/>
          <w:caps/>
          <w:sz w:val="24"/>
          <w:szCs w:val="24"/>
        </w:rPr>
        <w:t>Witnesses &amp; Exhibits</w:t>
      </w:r>
    </w:p>
    <w:p w:rsidR="00C76DD4" w:rsidRPr="00E526F7" w:rsidRDefault="00C76DD4" w:rsidP="00DA6A11">
      <w:pPr>
        <w:tabs>
          <w:tab w:val="left" w:pos="720"/>
          <w:tab w:val="left" w:pos="820"/>
        </w:tabs>
        <w:spacing w:after="0" w:line="480" w:lineRule="auto"/>
        <w:contextualSpacing/>
        <w:rPr>
          <w:rFonts w:ascii="Garamond" w:eastAsia="Arial" w:hAnsi="Garamond" w:cs="Arial"/>
          <w:i/>
          <w:sz w:val="24"/>
          <w:szCs w:val="24"/>
        </w:rPr>
      </w:pPr>
      <w:r w:rsidRPr="00E526F7">
        <w:rPr>
          <w:rFonts w:ascii="Garamond" w:hAnsi="Garamond"/>
          <w:b/>
          <w:sz w:val="24"/>
          <w:szCs w:val="24"/>
        </w:rPr>
        <w:lastRenderedPageBreak/>
        <w:tab/>
        <w:t>The parties shall confer by telephone, but preferably face-to-face, no later than 7 days before the JTMC is due</w:t>
      </w:r>
      <w:r w:rsidRPr="00E526F7">
        <w:rPr>
          <w:rFonts w:ascii="Garamond" w:hAnsi="Garamond"/>
          <w:sz w:val="24"/>
          <w:szCs w:val="24"/>
        </w:rPr>
        <w:t xml:space="preserve"> </w:t>
      </w:r>
      <w:r w:rsidRPr="00E526F7">
        <w:rPr>
          <w:rFonts w:ascii="Garamond" w:hAnsi="Garamond"/>
          <w:b/>
          <w:sz w:val="24"/>
          <w:szCs w:val="24"/>
        </w:rPr>
        <w:t xml:space="preserve">to exchange and discuss witnesses and exhibits; except </w:t>
      </w:r>
      <w:r w:rsidRPr="00930277">
        <w:rPr>
          <w:rFonts w:ascii="Garamond" w:hAnsi="Garamond"/>
          <w:b/>
          <w:i/>
          <w:sz w:val="24"/>
          <w:szCs w:val="24"/>
        </w:rPr>
        <w:t>pro se</w:t>
      </w:r>
      <w:r w:rsidRPr="00E526F7">
        <w:rPr>
          <w:rFonts w:ascii="Garamond" w:hAnsi="Garamond"/>
          <w:b/>
          <w:sz w:val="24"/>
          <w:szCs w:val="24"/>
        </w:rPr>
        <w:t xml:space="preserve"> parties subject to a no-contact order or who allege domestic violence, in which case the Court should be so advised at the pretrial conference.</w:t>
      </w:r>
    </w:p>
    <w:p w:rsidR="00C76DD4" w:rsidRPr="00E526F7" w:rsidRDefault="00C76DD4" w:rsidP="00E526F7">
      <w:pPr>
        <w:tabs>
          <w:tab w:val="left" w:pos="720"/>
          <w:tab w:val="left" w:pos="820"/>
        </w:tabs>
        <w:spacing w:after="0" w:line="480" w:lineRule="auto"/>
        <w:contextualSpacing/>
        <w:rPr>
          <w:rFonts w:ascii="Garamond" w:hAnsi="Garamond" w:cs="Arial"/>
          <w:color w:val="212121"/>
          <w:sz w:val="24"/>
          <w:szCs w:val="24"/>
        </w:rPr>
      </w:pPr>
      <w:r w:rsidRPr="00E526F7">
        <w:rPr>
          <w:rFonts w:ascii="Garamond" w:eastAsia="Arial" w:hAnsi="Garamond" w:cs="Arial"/>
          <w:i/>
          <w:sz w:val="24"/>
          <w:szCs w:val="24"/>
        </w:rPr>
        <w:tab/>
      </w:r>
      <w:r w:rsidRPr="00E526F7">
        <w:rPr>
          <w:rFonts w:ascii="Garamond" w:eastAsia="Arial" w:hAnsi="Garamond" w:cs="Arial"/>
          <w:b/>
          <w:bCs/>
          <w:spacing w:val="1"/>
          <w:sz w:val="24"/>
          <w:szCs w:val="24"/>
        </w:rPr>
        <w:t>The parties are ordered to confer regarding the admissibility of their respective exhibits and to stipulate to as many exhibits as practicable before the hearing.</w:t>
      </w:r>
      <w:r w:rsidRPr="00E526F7">
        <w:rPr>
          <w:rFonts w:ascii="Garamond" w:eastAsia="Arial" w:hAnsi="Garamond" w:cs="Arial"/>
          <w:sz w:val="24"/>
          <w:szCs w:val="24"/>
        </w:rPr>
        <w:t xml:space="preserve"> If any party objects to any exhibit offered, the objecting party shall file an “objected exhibit list” indicating each objected exhibit along with the ground for such objection</w:t>
      </w:r>
      <w:r w:rsidRPr="00E526F7">
        <w:rPr>
          <w:rFonts w:ascii="Garamond" w:hAnsi="Garamond" w:cs="Arial"/>
          <w:color w:val="212121"/>
          <w:sz w:val="24"/>
          <w:szCs w:val="24"/>
        </w:rPr>
        <w:t>. (For example, Exhibit 1, Rule 402 and 802.) (</w:t>
      </w:r>
      <w:r w:rsidRPr="00E526F7">
        <w:rPr>
          <w:rFonts w:ascii="Garamond" w:hAnsi="Garamond" w:cs="Arial"/>
          <w:i/>
          <w:color w:val="212121"/>
          <w:sz w:val="24"/>
          <w:szCs w:val="24"/>
        </w:rPr>
        <w:t xml:space="preserve">see </w:t>
      </w:r>
      <w:r w:rsidRPr="00E526F7">
        <w:rPr>
          <w:rFonts w:ascii="Garamond" w:hAnsi="Garamond" w:cs="Arial"/>
          <w:b/>
          <w:color w:val="212121"/>
          <w:sz w:val="24"/>
          <w:szCs w:val="24"/>
        </w:rPr>
        <w:t>Appendix B</w:t>
      </w:r>
      <w:r w:rsidRPr="00E526F7">
        <w:rPr>
          <w:rFonts w:ascii="Garamond" w:hAnsi="Garamond" w:cs="Arial"/>
          <w:color w:val="212121"/>
          <w:sz w:val="24"/>
          <w:szCs w:val="24"/>
        </w:rPr>
        <w:t xml:space="preserve">). </w:t>
      </w:r>
      <w:r w:rsidRPr="00E526F7">
        <w:rPr>
          <w:rFonts w:ascii="Garamond" w:eastAsia="Arial" w:hAnsi="Garamond" w:cs="Arial"/>
          <w:bCs/>
          <w:spacing w:val="1"/>
          <w:sz w:val="24"/>
          <w:szCs w:val="24"/>
        </w:rPr>
        <w:t>Parties shall limit objections solely to those that go to the heart of the exhibit in question</w:t>
      </w:r>
      <w:r w:rsidRPr="00E526F7">
        <w:rPr>
          <w:rFonts w:ascii="Garamond" w:hAnsi="Garamond" w:cs="Arial"/>
          <w:color w:val="212121"/>
          <w:sz w:val="24"/>
          <w:szCs w:val="24"/>
        </w:rPr>
        <w:t xml:space="preserve">. An objection not so made—except for one under Colo. R. </w:t>
      </w:r>
      <w:proofErr w:type="spellStart"/>
      <w:r w:rsidRPr="00E526F7">
        <w:rPr>
          <w:rFonts w:ascii="Garamond" w:hAnsi="Garamond" w:cs="Arial"/>
          <w:color w:val="212121"/>
          <w:sz w:val="24"/>
          <w:szCs w:val="24"/>
        </w:rPr>
        <w:t>Evid</w:t>
      </w:r>
      <w:proofErr w:type="spellEnd"/>
      <w:r w:rsidRPr="00E526F7">
        <w:rPr>
          <w:rFonts w:ascii="Garamond" w:hAnsi="Garamond" w:cs="Arial"/>
          <w:color w:val="212121"/>
          <w:sz w:val="24"/>
          <w:szCs w:val="24"/>
        </w:rPr>
        <w:t xml:space="preserve">. 402 or 403—is waived unless excused by the court for good cause. Unless the court orders otherwise, the objected exhibit lists must be filed with the Court </w:t>
      </w:r>
      <w:r w:rsidRPr="00E526F7">
        <w:rPr>
          <w:rFonts w:ascii="Garamond" w:hAnsi="Garamond" w:cs="Arial"/>
          <w:b/>
          <w:color w:val="212121"/>
          <w:sz w:val="24"/>
          <w:szCs w:val="24"/>
        </w:rPr>
        <w:t>no later than</w:t>
      </w:r>
      <w:r w:rsidRPr="00E526F7">
        <w:rPr>
          <w:rFonts w:ascii="Garamond" w:hAnsi="Garamond" w:cs="Arial"/>
          <w:color w:val="212121"/>
          <w:sz w:val="24"/>
          <w:szCs w:val="24"/>
        </w:rPr>
        <w:t xml:space="preserve"> </w:t>
      </w:r>
      <w:r w:rsidRPr="00E526F7">
        <w:rPr>
          <w:rFonts w:ascii="Garamond" w:hAnsi="Garamond" w:cs="Arial"/>
          <w:b/>
          <w:color w:val="212121"/>
          <w:sz w:val="24"/>
          <w:szCs w:val="24"/>
        </w:rPr>
        <w:t>seven days</w:t>
      </w:r>
      <w:r w:rsidRPr="00E526F7">
        <w:rPr>
          <w:rFonts w:ascii="Garamond" w:hAnsi="Garamond" w:cs="Arial"/>
          <w:color w:val="212121"/>
          <w:sz w:val="24"/>
          <w:szCs w:val="24"/>
        </w:rPr>
        <w:t xml:space="preserve"> before trial.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If the admissibility of </w:t>
      </w:r>
      <w:r w:rsidRPr="00E526F7">
        <w:rPr>
          <w:rFonts w:ascii="Garamond" w:hAnsi="Garamond"/>
          <w:sz w:val="24"/>
          <w:szCs w:val="24"/>
          <w:u w:val="single"/>
        </w:rPr>
        <w:t>all</w:t>
      </w:r>
      <w:r w:rsidRPr="00E526F7">
        <w:rPr>
          <w:rFonts w:ascii="Garamond" w:hAnsi="Garamond"/>
          <w:sz w:val="24"/>
          <w:szCs w:val="24"/>
        </w:rPr>
        <w:t xml:space="preserve"> exhibits </w:t>
      </w:r>
      <w:proofErr w:type="gramStart"/>
      <w:r w:rsidRPr="00E526F7">
        <w:rPr>
          <w:rFonts w:ascii="Garamond" w:hAnsi="Garamond"/>
          <w:sz w:val="24"/>
          <w:szCs w:val="24"/>
        </w:rPr>
        <w:t>are</w:t>
      </w:r>
      <w:proofErr w:type="gramEnd"/>
      <w:r w:rsidRPr="00E526F7">
        <w:rPr>
          <w:rFonts w:ascii="Garamond" w:hAnsi="Garamond"/>
          <w:sz w:val="24"/>
          <w:szCs w:val="24"/>
        </w:rPr>
        <w:t xml:space="preserve"> stipulated, the parties shall submit one (1) original exhibit notebook for the witnesses, with copies for each counsel and the Court. A single exhibit list will be provided by the Petitioner to the Court and counsel with all exhibits numbered. </w:t>
      </w:r>
    </w:p>
    <w:p w:rsidR="00C76DD4" w:rsidRPr="00E526F7" w:rsidRDefault="00C76DD4" w:rsidP="00E526F7">
      <w:pPr>
        <w:spacing w:after="0" w:line="480" w:lineRule="auto"/>
        <w:ind w:firstLine="720"/>
        <w:jc w:val="both"/>
        <w:rPr>
          <w:rFonts w:ascii="Garamond" w:hAnsi="Garamond"/>
          <w:sz w:val="24"/>
          <w:szCs w:val="24"/>
        </w:rPr>
      </w:pPr>
      <w:r w:rsidRPr="00E526F7">
        <w:rPr>
          <w:rFonts w:ascii="Garamond" w:hAnsi="Garamond"/>
          <w:sz w:val="24"/>
          <w:szCs w:val="24"/>
        </w:rPr>
        <w:t xml:space="preserve">If the admissibility of </w:t>
      </w:r>
      <w:r w:rsidRPr="00E526F7">
        <w:rPr>
          <w:rFonts w:ascii="Garamond" w:hAnsi="Garamond"/>
          <w:sz w:val="24"/>
          <w:szCs w:val="24"/>
          <w:u w:val="single"/>
        </w:rPr>
        <w:t>all</w:t>
      </w:r>
      <w:r w:rsidRPr="00E526F7">
        <w:rPr>
          <w:rFonts w:ascii="Garamond" w:hAnsi="Garamond"/>
          <w:sz w:val="24"/>
          <w:szCs w:val="24"/>
        </w:rPr>
        <w:t xml:space="preserve"> exhibits </w:t>
      </w:r>
      <w:proofErr w:type="gramStart"/>
      <w:r w:rsidRPr="00E526F7">
        <w:rPr>
          <w:rFonts w:ascii="Garamond" w:hAnsi="Garamond"/>
          <w:sz w:val="24"/>
          <w:szCs w:val="24"/>
        </w:rPr>
        <w:t>are</w:t>
      </w:r>
      <w:proofErr w:type="gramEnd"/>
      <w:r w:rsidRPr="00E526F7">
        <w:rPr>
          <w:rFonts w:ascii="Garamond" w:hAnsi="Garamond"/>
          <w:sz w:val="24"/>
          <w:szCs w:val="24"/>
        </w:rPr>
        <w:t xml:space="preserve"> </w:t>
      </w:r>
      <w:r w:rsidRPr="00E526F7">
        <w:rPr>
          <w:rFonts w:ascii="Garamond" w:hAnsi="Garamond"/>
          <w:sz w:val="24"/>
          <w:szCs w:val="24"/>
          <w:u w:val="single"/>
        </w:rPr>
        <w:t>not</w:t>
      </w:r>
      <w:r w:rsidRPr="00E526F7">
        <w:rPr>
          <w:rFonts w:ascii="Garamond" w:hAnsi="Garamond"/>
          <w:sz w:val="24"/>
          <w:szCs w:val="24"/>
        </w:rPr>
        <w:t xml:space="preserve"> stipulated, each party shall submit a separate notebook of original exhibits (with copies for counsel and the Court) and a separate exhibit list, noting which exhibits are stipulated.  No exhibits will </w:t>
      </w:r>
      <w:proofErr w:type="gramStart"/>
      <w:r w:rsidRPr="00E526F7">
        <w:rPr>
          <w:rFonts w:ascii="Garamond" w:hAnsi="Garamond"/>
          <w:sz w:val="24"/>
          <w:szCs w:val="24"/>
        </w:rPr>
        <w:t>actually be</w:t>
      </w:r>
      <w:proofErr w:type="gramEnd"/>
      <w:r w:rsidRPr="00E526F7">
        <w:rPr>
          <w:rFonts w:ascii="Garamond" w:hAnsi="Garamond"/>
          <w:sz w:val="24"/>
          <w:szCs w:val="24"/>
        </w:rPr>
        <w:t xml:space="preserve"> admitted into evidence unless they are offered in evidence. These exhibits will be numbered/lettered and tabbed in the notebooks. Petitioner's exhibits will be numbered. Respondent's exhibits will be lettered. </w:t>
      </w:r>
    </w:p>
    <w:p w:rsidR="00C76DD4" w:rsidRDefault="00C76DD4" w:rsidP="00E526F7">
      <w:pPr>
        <w:tabs>
          <w:tab w:val="left" w:pos="720"/>
          <w:tab w:val="left" w:pos="820"/>
        </w:tabs>
        <w:spacing w:after="0" w:line="480" w:lineRule="auto"/>
        <w:contextualSpacing/>
        <w:rPr>
          <w:rFonts w:ascii="Garamond" w:hAnsi="Garamond"/>
          <w:sz w:val="24"/>
          <w:szCs w:val="24"/>
        </w:rPr>
      </w:pPr>
      <w:r w:rsidRPr="00E526F7">
        <w:rPr>
          <w:rFonts w:ascii="Garamond" w:hAnsi="Garamond"/>
          <w:sz w:val="24"/>
          <w:szCs w:val="24"/>
        </w:rPr>
        <w:tab/>
      </w:r>
      <w:proofErr w:type="gramStart"/>
      <w:r w:rsidRPr="00E526F7">
        <w:rPr>
          <w:rFonts w:ascii="Garamond" w:hAnsi="Garamond"/>
          <w:sz w:val="24"/>
          <w:szCs w:val="24"/>
        </w:rPr>
        <w:t>At the conclusion of</w:t>
      </w:r>
      <w:proofErr w:type="gramEnd"/>
      <w:r w:rsidRPr="00E526F7">
        <w:rPr>
          <w:rFonts w:ascii="Garamond" w:hAnsi="Garamond"/>
          <w:sz w:val="24"/>
          <w:szCs w:val="24"/>
        </w:rPr>
        <w:t xml:space="preserve"> the hearing, each party shall file with the Court ONLY the admitted and tendered exhibits.</w:t>
      </w:r>
    </w:p>
    <w:p w:rsidR="007631DD" w:rsidRPr="00E526F7" w:rsidRDefault="007631DD" w:rsidP="00E526F7">
      <w:pPr>
        <w:tabs>
          <w:tab w:val="left" w:pos="720"/>
          <w:tab w:val="left" w:pos="820"/>
        </w:tabs>
        <w:spacing w:after="0" w:line="480" w:lineRule="auto"/>
        <w:contextualSpacing/>
        <w:rPr>
          <w:rFonts w:ascii="Garamond" w:hAnsi="Garamond" w:cs="Arial"/>
          <w:color w:val="212121"/>
          <w:sz w:val="24"/>
          <w:szCs w:val="24"/>
        </w:rPr>
      </w:pPr>
    </w:p>
    <w:p w:rsidR="00DC7239" w:rsidRPr="00E526F7" w:rsidRDefault="00DC7239" w:rsidP="00E526F7">
      <w:pPr>
        <w:pStyle w:val="ListParagraph"/>
        <w:numPr>
          <w:ilvl w:val="0"/>
          <w:numId w:val="1"/>
        </w:numPr>
        <w:spacing w:line="480" w:lineRule="auto"/>
        <w:contextualSpacing/>
        <w:jc w:val="center"/>
        <w:rPr>
          <w:rFonts w:ascii="Garamond" w:hAnsi="Garamond"/>
          <w:b/>
          <w:caps/>
          <w:sz w:val="24"/>
          <w:szCs w:val="24"/>
        </w:rPr>
      </w:pPr>
      <w:r w:rsidRPr="00E526F7">
        <w:rPr>
          <w:rFonts w:ascii="Garamond" w:hAnsi="Garamond"/>
          <w:b/>
          <w:caps/>
          <w:sz w:val="24"/>
          <w:szCs w:val="24"/>
        </w:rPr>
        <w:t>Miscellaneous</w:t>
      </w:r>
    </w:p>
    <w:p w:rsidR="00DC7239" w:rsidRPr="007631DD" w:rsidRDefault="00DC7239" w:rsidP="00E526F7">
      <w:pPr>
        <w:pStyle w:val="ListParagraph"/>
        <w:numPr>
          <w:ilvl w:val="0"/>
          <w:numId w:val="14"/>
        </w:numPr>
        <w:spacing w:line="480" w:lineRule="auto"/>
        <w:contextualSpacing/>
        <w:jc w:val="center"/>
        <w:rPr>
          <w:rFonts w:ascii="Garamond" w:hAnsi="Garamond"/>
          <w:b/>
          <w:caps/>
          <w:sz w:val="24"/>
          <w:szCs w:val="24"/>
        </w:rPr>
      </w:pPr>
      <w:r w:rsidRPr="00E526F7">
        <w:rPr>
          <w:rFonts w:ascii="Garamond" w:hAnsi="Garamond"/>
          <w:b/>
          <w:sz w:val="24"/>
          <w:szCs w:val="24"/>
        </w:rPr>
        <w:t>Font and Format of Papers</w:t>
      </w:r>
      <w:bookmarkStart w:id="4" w:name="_GoBack"/>
      <w:bookmarkEnd w:id="4"/>
    </w:p>
    <w:p w:rsidR="00DC7239" w:rsidRPr="00E526F7" w:rsidRDefault="00DC7239" w:rsidP="00DA6A11">
      <w:pPr>
        <w:widowControl w:val="0"/>
        <w:spacing w:after="0" w:line="480" w:lineRule="auto"/>
        <w:ind w:firstLine="720"/>
        <w:contextualSpacing/>
        <w:rPr>
          <w:rFonts w:ascii="Garamond" w:hAnsi="Garamond"/>
          <w:sz w:val="24"/>
          <w:szCs w:val="24"/>
        </w:rPr>
      </w:pPr>
      <w:bookmarkStart w:id="5" w:name="_Hlk536602655"/>
      <w:r w:rsidRPr="00E526F7">
        <w:rPr>
          <w:rFonts w:ascii="Garamond" w:hAnsi="Garamond"/>
          <w:sz w:val="24"/>
          <w:szCs w:val="24"/>
        </w:rPr>
        <w:t>The Court expects all papers filed with the Court be in Garamond 12-point f</w:t>
      </w:r>
      <w:r w:rsidR="00DC68C0" w:rsidRPr="00E526F7">
        <w:rPr>
          <w:rFonts w:ascii="Garamond" w:hAnsi="Garamond"/>
          <w:sz w:val="24"/>
          <w:szCs w:val="24"/>
        </w:rPr>
        <w:t>ont and double-spaced, for text and</w:t>
      </w:r>
      <w:r w:rsidRPr="00E526F7">
        <w:rPr>
          <w:rFonts w:ascii="Garamond" w:hAnsi="Garamond"/>
          <w:sz w:val="24"/>
          <w:szCs w:val="24"/>
        </w:rPr>
        <w:t xml:space="preserve"> headings. Parties shall use 1” margins with a 0.5” indentation for the first line. The parties are also required to use bluebook citation form (e.g.</w:t>
      </w:r>
      <w:r w:rsidR="00B06D2F" w:rsidRPr="00E526F7">
        <w:rPr>
          <w:rFonts w:ascii="Garamond" w:hAnsi="Garamond"/>
          <w:sz w:val="24"/>
          <w:szCs w:val="24"/>
        </w:rPr>
        <w:t>,</w:t>
      </w:r>
      <w:r w:rsidRPr="00E526F7">
        <w:rPr>
          <w:rFonts w:ascii="Garamond" w:hAnsi="Garamond"/>
          <w:sz w:val="24"/>
          <w:szCs w:val="24"/>
        </w:rPr>
        <w:t xml:space="preserve"> Colo. R. Civ. P. &amp; Colo. Rev. Stat., NOT C.R.C.P. &amp; C.R.S.).</w:t>
      </w:r>
      <w:bookmarkEnd w:id="5"/>
    </w:p>
    <w:bookmarkEnd w:id="3"/>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ind w:left="720"/>
        <w:contextualSpacing/>
        <w:jc w:val="center"/>
        <w:rPr>
          <w:rFonts w:ascii="Garamond" w:hAnsi="Garamond"/>
          <w:b/>
          <w:caps/>
          <w:sz w:val="24"/>
          <w:szCs w:val="24"/>
        </w:rPr>
      </w:pPr>
      <w:bookmarkStart w:id="6" w:name="_Hlk4490131"/>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1"/>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9"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10"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jc w:val="center"/>
        <w:tblLook w:val="04A0" w:firstRow="1" w:lastRow="0" w:firstColumn="1" w:lastColumn="0" w:noHBand="0" w:noVBand="1"/>
      </w:tblPr>
      <w:tblGrid>
        <w:gridCol w:w="827"/>
        <w:gridCol w:w="3668"/>
        <w:gridCol w:w="3510"/>
      </w:tblGrid>
      <w:tr w:rsidR="00147E89" w:rsidRPr="004C7574" w:rsidTr="00B55EA9">
        <w:trPr>
          <w:jc w:val="center"/>
        </w:trPr>
        <w:tc>
          <w:tcPr>
            <w:tcW w:w="827"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Ex.</w:t>
            </w:r>
          </w:p>
        </w:tc>
        <w:tc>
          <w:tcPr>
            <w:tcW w:w="3668"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Description</w:t>
            </w:r>
          </w:p>
        </w:tc>
        <w:tc>
          <w:tcPr>
            <w:tcW w:w="3510" w:type="dxa"/>
            <w:shd w:val="clear" w:color="auto" w:fill="D9D9D9" w:themeFill="background1" w:themeFillShade="D9"/>
            <w:vAlign w:val="center"/>
          </w:tcPr>
          <w:p w:rsidR="00147E89" w:rsidRPr="004C7574" w:rsidRDefault="00147E89" w:rsidP="00A64E47">
            <w:pPr>
              <w:widowControl w:val="0"/>
              <w:jc w:val="center"/>
              <w:rPr>
                <w:rFonts w:ascii="Garamond" w:hAnsi="Garamond"/>
                <w:b/>
                <w:sz w:val="24"/>
                <w:szCs w:val="24"/>
              </w:rPr>
            </w:pPr>
            <w:r w:rsidRPr="004C7574">
              <w:rPr>
                <w:rFonts w:ascii="Garamond" w:hAnsi="Garamond"/>
                <w:b/>
                <w:sz w:val="24"/>
                <w:szCs w:val="24"/>
              </w:rPr>
              <w:t>Obj.</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1</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Bill of sale of truck</w:t>
            </w:r>
          </w:p>
        </w:tc>
        <w:tc>
          <w:tcPr>
            <w:tcW w:w="3510" w:type="dxa"/>
          </w:tcPr>
          <w:p w:rsidR="00147E89" w:rsidRPr="004C7574" w:rsidRDefault="00147E89" w:rsidP="00147E89">
            <w:pPr>
              <w:widowControl w:val="0"/>
              <w:rPr>
                <w:rFonts w:ascii="Garamond" w:hAnsi="Garamond"/>
                <w:sz w:val="24"/>
                <w:szCs w:val="24"/>
              </w:rPr>
            </w:pPr>
            <w:r>
              <w:rPr>
                <w:rFonts w:ascii="Garamond" w:hAnsi="Garamond"/>
                <w:sz w:val="24"/>
                <w:szCs w:val="24"/>
              </w:rPr>
              <w:t>Relevance</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2</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 xml:space="preserve">Plaintiff’s medical and billing records – Valley </w:t>
            </w:r>
            <w:proofErr w:type="spellStart"/>
            <w:r w:rsidRPr="004C7574">
              <w:rPr>
                <w:rFonts w:ascii="Garamond" w:hAnsi="Garamond"/>
                <w:sz w:val="24"/>
                <w:szCs w:val="24"/>
              </w:rPr>
              <w:t>Valley</w:t>
            </w:r>
            <w:proofErr w:type="spellEnd"/>
            <w:r w:rsidRPr="004C7574">
              <w:rPr>
                <w:rFonts w:ascii="Garamond" w:hAnsi="Garamond"/>
                <w:sz w:val="24"/>
                <w:szCs w:val="24"/>
              </w:rPr>
              <w:t xml:space="preserve"> EMS</w:t>
            </w:r>
          </w:p>
        </w:tc>
        <w:tc>
          <w:tcPr>
            <w:tcW w:w="3510" w:type="dxa"/>
          </w:tcPr>
          <w:p w:rsidR="00147E89" w:rsidRPr="004C7574" w:rsidRDefault="00147E89" w:rsidP="00A64E47">
            <w:pPr>
              <w:widowControl w:val="0"/>
              <w:rPr>
                <w:rFonts w:ascii="Garamond" w:hAnsi="Garamond"/>
                <w:sz w:val="24"/>
                <w:szCs w:val="24"/>
              </w:rPr>
            </w:pPr>
            <w:r w:rsidRPr="004C7574">
              <w:rPr>
                <w:rFonts w:ascii="Garamond" w:hAnsi="Garamond"/>
                <w:sz w:val="24"/>
                <w:szCs w:val="24"/>
              </w:rPr>
              <w:t>Relevance, prejudice.</w:t>
            </w: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3</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3510" w:type="dxa"/>
          </w:tcPr>
          <w:p w:rsidR="00147E89" w:rsidRPr="004C7574" w:rsidRDefault="00147E89" w:rsidP="00147E89">
            <w:pPr>
              <w:widowControl w:val="0"/>
              <w:rPr>
                <w:rFonts w:ascii="Garamond" w:hAnsi="Garamond"/>
                <w:sz w:val="24"/>
                <w:szCs w:val="24"/>
              </w:rPr>
            </w:pPr>
          </w:p>
        </w:tc>
      </w:tr>
      <w:tr w:rsidR="00147E89" w:rsidRPr="004C7574" w:rsidTr="00B55EA9">
        <w:trPr>
          <w:jc w:val="center"/>
        </w:trPr>
        <w:tc>
          <w:tcPr>
            <w:tcW w:w="827" w:type="dxa"/>
          </w:tcPr>
          <w:p w:rsidR="00147E89" w:rsidRPr="004C7574" w:rsidRDefault="00147E89" w:rsidP="00A64E47">
            <w:pPr>
              <w:widowControl w:val="0"/>
              <w:jc w:val="center"/>
              <w:rPr>
                <w:rFonts w:ascii="Garamond" w:hAnsi="Garamond"/>
                <w:sz w:val="24"/>
                <w:szCs w:val="24"/>
              </w:rPr>
            </w:pPr>
            <w:r>
              <w:rPr>
                <w:rFonts w:ascii="Garamond" w:hAnsi="Garamond"/>
                <w:sz w:val="24"/>
                <w:szCs w:val="24"/>
              </w:rPr>
              <w:t>4</w:t>
            </w:r>
          </w:p>
        </w:tc>
        <w:tc>
          <w:tcPr>
            <w:tcW w:w="3668" w:type="dxa"/>
          </w:tcPr>
          <w:p w:rsidR="00147E89" w:rsidRPr="004C7574" w:rsidRDefault="00147E89"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3510" w:type="dxa"/>
          </w:tcPr>
          <w:p w:rsidR="00147E89" w:rsidRPr="004C7574" w:rsidRDefault="00147E89" w:rsidP="00A64E47">
            <w:pPr>
              <w:widowControl w:val="0"/>
              <w:rPr>
                <w:rFonts w:ascii="Garamond" w:hAnsi="Garamond"/>
                <w:sz w:val="24"/>
                <w:szCs w:val="24"/>
              </w:rPr>
            </w:pPr>
            <w:r w:rsidRPr="004C7574">
              <w:rPr>
                <w:rFonts w:ascii="Garamond" w:hAnsi="Garamond"/>
                <w:sz w:val="24"/>
                <w:szCs w:val="24"/>
              </w:rPr>
              <w:t>Hearsay</w:t>
            </w:r>
          </w:p>
        </w:tc>
      </w:tr>
    </w:tbl>
    <w:p w:rsidR="004C7574" w:rsidRPr="004C7574" w:rsidRDefault="004C7574" w:rsidP="004C7574">
      <w:pPr>
        <w:widowControl w:val="0"/>
        <w:jc w:val="center"/>
        <w:rPr>
          <w:rFonts w:ascii="Garamond" w:hAnsi="Garamond"/>
          <w:b/>
          <w:sz w:val="24"/>
          <w:szCs w:val="24"/>
        </w:rPr>
      </w:pPr>
    </w:p>
    <w:bookmarkEnd w:id="6"/>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EA565F">
          <w:rPr>
            <w:rFonts w:ascii="Garamond" w:hAnsi="Garamond"/>
            <w:noProof/>
            <w:sz w:val="24"/>
            <w:szCs w:val="24"/>
          </w:rPr>
          <w:t>5</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8F5"/>
    <w:multiLevelType w:val="hybridMultilevel"/>
    <w:tmpl w:val="B7969ED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15D66"/>
    <w:multiLevelType w:val="hybridMultilevel"/>
    <w:tmpl w:val="D5DE29BA"/>
    <w:lvl w:ilvl="0" w:tplc="3984C4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20E46"/>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3"/>
  </w:num>
  <w:num w:numId="5">
    <w:abstractNumId w:val="4"/>
  </w:num>
  <w:num w:numId="6">
    <w:abstractNumId w:val="9"/>
  </w:num>
  <w:num w:numId="7">
    <w:abstractNumId w:val="6"/>
  </w:num>
  <w:num w:numId="8">
    <w:abstractNumId w:val="15"/>
  </w:num>
  <w:num w:numId="9">
    <w:abstractNumId w:val="8"/>
  </w:num>
  <w:num w:numId="10">
    <w:abstractNumId w:val="1"/>
  </w:num>
  <w:num w:numId="11">
    <w:abstractNumId w:val="14"/>
  </w:num>
  <w:num w:numId="12">
    <w:abstractNumId w:val="7"/>
  </w:num>
  <w:num w:numId="13">
    <w:abstractNumId w:val="5"/>
  </w:num>
  <w:num w:numId="14">
    <w:abstractNumId w:val="3"/>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61"/>
    <w:rsid w:val="0002203B"/>
    <w:rsid w:val="000237FA"/>
    <w:rsid w:val="00054558"/>
    <w:rsid w:val="00073603"/>
    <w:rsid w:val="000846F8"/>
    <w:rsid w:val="00094B14"/>
    <w:rsid w:val="000E0B61"/>
    <w:rsid w:val="000F51B8"/>
    <w:rsid w:val="00117C6D"/>
    <w:rsid w:val="00132000"/>
    <w:rsid w:val="00135E9F"/>
    <w:rsid w:val="001464B1"/>
    <w:rsid w:val="00147E89"/>
    <w:rsid w:val="00150B0E"/>
    <w:rsid w:val="00162B69"/>
    <w:rsid w:val="0018088A"/>
    <w:rsid w:val="001872CA"/>
    <w:rsid w:val="001A4D84"/>
    <w:rsid w:val="001B5759"/>
    <w:rsid w:val="001C7FDD"/>
    <w:rsid w:val="001E22B9"/>
    <w:rsid w:val="001F7A08"/>
    <w:rsid w:val="001F7BB0"/>
    <w:rsid w:val="002019DA"/>
    <w:rsid w:val="00223FDD"/>
    <w:rsid w:val="00235965"/>
    <w:rsid w:val="00252E23"/>
    <w:rsid w:val="002543E1"/>
    <w:rsid w:val="00257C3E"/>
    <w:rsid w:val="00266935"/>
    <w:rsid w:val="00275992"/>
    <w:rsid w:val="0028105E"/>
    <w:rsid w:val="002D4BC6"/>
    <w:rsid w:val="003026F0"/>
    <w:rsid w:val="0033074D"/>
    <w:rsid w:val="00334FF0"/>
    <w:rsid w:val="00347760"/>
    <w:rsid w:val="00352C11"/>
    <w:rsid w:val="00361466"/>
    <w:rsid w:val="00361D0C"/>
    <w:rsid w:val="003663D1"/>
    <w:rsid w:val="00397245"/>
    <w:rsid w:val="003A51F6"/>
    <w:rsid w:val="003A6A9B"/>
    <w:rsid w:val="00406420"/>
    <w:rsid w:val="00414DD8"/>
    <w:rsid w:val="00427337"/>
    <w:rsid w:val="00433474"/>
    <w:rsid w:val="004514E0"/>
    <w:rsid w:val="004824BD"/>
    <w:rsid w:val="004B5FF2"/>
    <w:rsid w:val="004C13AE"/>
    <w:rsid w:val="004C46B3"/>
    <w:rsid w:val="004C7574"/>
    <w:rsid w:val="004C770A"/>
    <w:rsid w:val="004D4C0A"/>
    <w:rsid w:val="00510441"/>
    <w:rsid w:val="00550F51"/>
    <w:rsid w:val="0059354D"/>
    <w:rsid w:val="005D575F"/>
    <w:rsid w:val="005F608E"/>
    <w:rsid w:val="006203AD"/>
    <w:rsid w:val="00633738"/>
    <w:rsid w:val="00636679"/>
    <w:rsid w:val="0064607B"/>
    <w:rsid w:val="00651801"/>
    <w:rsid w:val="00657A2C"/>
    <w:rsid w:val="00657E1D"/>
    <w:rsid w:val="00657FEC"/>
    <w:rsid w:val="00680BDE"/>
    <w:rsid w:val="00684CE9"/>
    <w:rsid w:val="006962C7"/>
    <w:rsid w:val="00697A21"/>
    <w:rsid w:val="006D7FEB"/>
    <w:rsid w:val="00714E6F"/>
    <w:rsid w:val="00725BB1"/>
    <w:rsid w:val="00741595"/>
    <w:rsid w:val="00754B22"/>
    <w:rsid w:val="007559B7"/>
    <w:rsid w:val="007631DD"/>
    <w:rsid w:val="00793F32"/>
    <w:rsid w:val="007A6711"/>
    <w:rsid w:val="007A7561"/>
    <w:rsid w:val="007D12CE"/>
    <w:rsid w:val="00806B36"/>
    <w:rsid w:val="00816E5F"/>
    <w:rsid w:val="00827C99"/>
    <w:rsid w:val="00833DD2"/>
    <w:rsid w:val="00850669"/>
    <w:rsid w:val="00864888"/>
    <w:rsid w:val="00870932"/>
    <w:rsid w:val="00880BB4"/>
    <w:rsid w:val="008939C6"/>
    <w:rsid w:val="008B77A3"/>
    <w:rsid w:val="008D5C27"/>
    <w:rsid w:val="009060CD"/>
    <w:rsid w:val="00930277"/>
    <w:rsid w:val="0093573C"/>
    <w:rsid w:val="0094564C"/>
    <w:rsid w:val="0095482B"/>
    <w:rsid w:val="009714D6"/>
    <w:rsid w:val="009855D1"/>
    <w:rsid w:val="009A68EC"/>
    <w:rsid w:val="009A7D93"/>
    <w:rsid w:val="009B0396"/>
    <w:rsid w:val="009C4B7B"/>
    <w:rsid w:val="009D7E3A"/>
    <w:rsid w:val="009E2729"/>
    <w:rsid w:val="009E40A3"/>
    <w:rsid w:val="009E5273"/>
    <w:rsid w:val="009F6CD5"/>
    <w:rsid w:val="00A003CE"/>
    <w:rsid w:val="00A063D2"/>
    <w:rsid w:val="00A07DE8"/>
    <w:rsid w:val="00A12796"/>
    <w:rsid w:val="00A16871"/>
    <w:rsid w:val="00A45650"/>
    <w:rsid w:val="00A46D9D"/>
    <w:rsid w:val="00A670DC"/>
    <w:rsid w:val="00A86E9D"/>
    <w:rsid w:val="00A91A7E"/>
    <w:rsid w:val="00A954DF"/>
    <w:rsid w:val="00AD33F7"/>
    <w:rsid w:val="00B00514"/>
    <w:rsid w:val="00B06D2F"/>
    <w:rsid w:val="00B26058"/>
    <w:rsid w:val="00B27488"/>
    <w:rsid w:val="00B55EA9"/>
    <w:rsid w:val="00B84BC2"/>
    <w:rsid w:val="00BD64E2"/>
    <w:rsid w:val="00C26125"/>
    <w:rsid w:val="00C322DA"/>
    <w:rsid w:val="00C40A95"/>
    <w:rsid w:val="00C675ED"/>
    <w:rsid w:val="00C67683"/>
    <w:rsid w:val="00C729E6"/>
    <w:rsid w:val="00C76DD4"/>
    <w:rsid w:val="00CD4567"/>
    <w:rsid w:val="00CF2535"/>
    <w:rsid w:val="00D07B5B"/>
    <w:rsid w:val="00D30CC0"/>
    <w:rsid w:val="00D3201F"/>
    <w:rsid w:val="00D35F8A"/>
    <w:rsid w:val="00D845CA"/>
    <w:rsid w:val="00D94B73"/>
    <w:rsid w:val="00DA6A11"/>
    <w:rsid w:val="00DC25F2"/>
    <w:rsid w:val="00DC68C0"/>
    <w:rsid w:val="00DC7239"/>
    <w:rsid w:val="00DD6E23"/>
    <w:rsid w:val="00DF0C85"/>
    <w:rsid w:val="00DF556F"/>
    <w:rsid w:val="00E01E15"/>
    <w:rsid w:val="00E27BD3"/>
    <w:rsid w:val="00E35F07"/>
    <w:rsid w:val="00E516C8"/>
    <w:rsid w:val="00E52634"/>
    <w:rsid w:val="00E526F7"/>
    <w:rsid w:val="00E63001"/>
    <w:rsid w:val="00E87438"/>
    <w:rsid w:val="00E941DC"/>
    <w:rsid w:val="00EA350D"/>
    <w:rsid w:val="00EA565F"/>
    <w:rsid w:val="00EC338B"/>
    <w:rsid w:val="00ED0125"/>
    <w:rsid w:val="00ED4550"/>
    <w:rsid w:val="00EE1AC5"/>
    <w:rsid w:val="00EE65B7"/>
    <w:rsid w:val="00F0233D"/>
    <w:rsid w:val="00F26DCB"/>
    <w:rsid w:val="00F3172C"/>
    <w:rsid w:val="00F32AE7"/>
    <w:rsid w:val="00FE09DA"/>
    <w:rsid w:val="00FE471F"/>
    <w:rsid w:val="00FF3AF3"/>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8D7BE7"/>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state.co.us/Courts/District/Local_Resources.cfm?District_ID=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1529-8228-49A0-BD70-E25E214E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6</cp:revision>
  <dcterms:created xsi:type="dcterms:W3CDTF">2019-07-30T19:34:00Z</dcterms:created>
  <dcterms:modified xsi:type="dcterms:W3CDTF">2019-07-30T20:39:00Z</dcterms:modified>
</cp:coreProperties>
</file>