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1"/>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231"/>
      </w:tblGrid>
      <w:tr w:rsidR="008B1C9A" w:rsidTr="008B1C9A">
        <w:trPr>
          <w:cantSplit/>
        </w:trPr>
        <w:tc>
          <w:tcPr>
            <w:tcW w:w="5958" w:type="dxa"/>
          </w:tcPr>
          <w:p w:rsidR="008B1C9A" w:rsidRPr="008B1C9A" w:rsidRDefault="008B1C9A" w:rsidP="008B1C9A">
            <w:pPr>
              <w:spacing w:line="240" w:lineRule="auto"/>
              <w:ind w:left="72" w:hanging="72"/>
              <w:contextualSpacing/>
              <w:rPr>
                <w:rFonts w:ascii="Times New Roman" w:hAnsi="Times New Roman" w:cs="Times New Roman"/>
                <w:caps/>
              </w:rPr>
            </w:pPr>
            <w:r w:rsidRPr="008B1C9A">
              <w:rPr>
                <w:rFonts w:ascii="Times New Roman" w:hAnsi="Times New Roman" w:cs="Times New Roman"/>
                <w:caps/>
              </w:rPr>
              <w:t>District court</w:t>
            </w:r>
          </w:p>
          <w:p w:rsidR="008B1C9A" w:rsidRPr="008B1C9A" w:rsidRDefault="008B1C9A" w:rsidP="008B1C9A">
            <w:pPr>
              <w:spacing w:line="240" w:lineRule="auto"/>
              <w:ind w:left="72" w:hanging="72"/>
              <w:contextualSpacing/>
              <w:rPr>
                <w:rFonts w:ascii="Times New Roman" w:hAnsi="Times New Roman" w:cs="Times New Roman"/>
                <w:caps/>
              </w:rPr>
            </w:pPr>
            <w:r w:rsidRPr="008B1C9A">
              <w:rPr>
                <w:rFonts w:ascii="Times New Roman" w:hAnsi="Times New Roman" w:cs="Times New Roman"/>
                <w:caps/>
              </w:rPr>
              <w:t>la plata county, colorado</w:t>
            </w:r>
          </w:p>
          <w:p w:rsidR="008B1C9A" w:rsidRPr="008B1C9A" w:rsidRDefault="008B1C9A" w:rsidP="008B1C9A">
            <w:pPr>
              <w:spacing w:line="240" w:lineRule="auto"/>
              <w:ind w:left="72" w:hanging="72"/>
              <w:contextualSpacing/>
              <w:rPr>
                <w:rFonts w:ascii="Times New Roman" w:hAnsi="Times New Roman" w:cs="Times New Roman"/>
                <w:caps/>
              </w:rPr>
            </w:pPr>
            <w:r w:rsidRPr="008B1C9A">
              <w:rPr>
                <w:rFonts w:ascii="Times New Roman" w:hAnsi="Times New Roman" w:cs="Times New Roman"/>
                <w:caps/>
              </w:rPr>
              <w:t>1060 E. 2</w:t>
            </w:r>
            <w:r w:rsidRPr="008B1C9A">
              <w:rPr>
                <w:rFonts w:ascii="Times New Roman" w:hAnsi="Times New Roman" w:cs="Times New Roman"/>
                <w:caps/>
                <w:vertAlign w:val="superscript"/>
              </w:rPr>
              <w:t>nd</w:t>
            </w:r>
            <w:r w:rsidRPr="008B1C9A">
              <w:rPr>
                <w:rFonts w:ascii="Times New Roman" w:hAnsi="Times New Roman" w:cs="Times New Roman"/>
                <w:caps/>
              </w:rPr>
              <w:t xml:space="preserve"> Ave., Durango, Co 81301</w:t>
            </w:r>
          </w:p>
        </w:tc>
        <w:tc>
          <w:tcPr>
            <w:tcW w:w="4231" w:type="dxa"/>
            <w:vMerge w:val="restart"/>
            <w:vAlign w:val="bottom"/>
          </w:tcPr>
          <w:p w:rsidR="008B1C9A" w:rsidRPr="008B1C9A" w:rsidRDefault="008B1C9A" w:rsidP="008B1C9A">
            <w:pPr>
              <w:jc w:val="center"/>
              <w:rPr>
                <w:rFonts w:ascii="Times New Roman" w:hAnsi="Times New Roman" w:cs="Times New Roman"/>
                <w:caps/>
              </w:rPr>
            </w:pPr>
            <w:r w:rsidRPr="008B1C9A">
              <w:rPr>
                <w:rFonts w:ascii="Times New Roman" w:hAnsi="Times New Roman" w:cs="Times New Roman"/>
                <w:caps/>
              </w:rPr>
              <w:sym w:font="Monotype Sorts" w:char="F073"/>
            </w:r>
            <w:r w:rsidRPr="008B1C9A">
              <w:rPr>
                <w:rFonts w:ascii="Times New Roman" w:hAnsi="Times New Roman" w:cs="Times New Roman"/>
                <w:caps/>
              </w:rPr>
              <w:t xml:space="preserve"> cOURT USE ONLY </w:t>
            </w:r>
            <w:r w:rsidRPr="008B1C9A">
              <w:rPr>
                <w:rFonts w:ascii="Times New Roman" w:hAnsi="Times New Roman" w:cs="Times New Roman"/>
                <w:caps/>
              </w:rPr>
              <w:sym w:font="Monotype Sorts" w:char="F073"/>
            </w:r>
          </w:p>
        </w:tc>
      </w:tr>
      <w:tr w:rsidR="008B1C9A" w:rsidTr="008B1C9A">
        <w:trPr>
          <w:cantSplit/>
        </w:trPr>
        <w:tc>
          <w:tcPr>
            <w:tcW w:w="5958" w:type="dxa"/>
          </w:tcPr>
          <w:p w:rsidR="008B1C9A" w:rsidRPr="008B1C9A" w:rsidRDefault="008B1C9A" w:rsidP="008B1C9A">
            <w:pPr>
              <w:ind w:left="72" w:hanging="72"/>
              <w:rPr>
                <w:rFonts w:ascii="Times New Roman" w:hAnsi="Times New Roman" w:cs="Times New Roman"/>
              </w:rPr>
            </w:pPr>
            <w:r w:rsidRPr="008B1C9A">
              <w:rPr>
                <w:rFonts w:ascii="Times New Roman" w:hAnsi="Times New Roman" w:cs="Times New Roman"/>
              </w:rPr>
              <w:t xml:space="preserve">THE PEOPLE OF THE STATE OF </w:t>
            </w:r>
            <w:smartTag w:uri="urn:schemas-microsoft-com:office:smarttags" w:element="place">
              <w:smartTag w:uri="urn:schemas-microsoft-com:office:smarttags" w:element="State">
                <w:r w:rsidRPr="008B1C9A">
                  <w:rPr>
                    <w:rFonts w:ascii="Times New Roman" w:hAnsi="Times New Roman" w:cs="Times New Roman"/>
                  </w:rPr>
                  <w:t>COLORADO</w:t>
                </w:r>
              </w:smartTag>
            </w:smartTag>
            <w:r w:rsidRPr="008B1C9A">
              <w:rPr>
                <w:rFonts w:ascii="Times New Roman" w:hAnsi="Times New Roman" w:cs="Times New Roman"/>
              </w:rPr>
              <w:t>,</w:t>
            </w:r>
          </w:p>
          <w:p w:rsidR="008B1C9A" w:rsidRPr="008B1C9A" w:rsidRDefault="008B1C9A" w:rsidP="008B1C9A">
            <w:pPr>
              <w:ind w:left="72" w:hanging="72"/>
              <w:rPr>
                <w:rFonts w:ascii="Times New Roman" w:hAnsi="Times New Roman" w:cs="Times New Roman"/>
              </w:rPr>
            </w:pPr>
            <w:r w:rsidRPr="008B1C9A">
              <w:rPr>
                <w:rFonts w:ascii="Times New Roman" w:hAnsi="Times New Roman" w:cs="Times New Roman"/>
              </w:rPr>
              <w:t>Plaintiff</w:t>
            </w:r>
          </w:p>
          <w:p w:rsidR="008B1C9A" w:rsidRPr="008B1C9A" w:rsidRDefault="008B1C9A" w:rsidP="008B1C9A">
            <w:pPr>
              <w:ind w:left="72" w:hanging="72"/>
              <w:rPr>
                <w:rFonts w:ascii="Times New Roman" w:hAnsi="Times New Roman" w:cs="Times New Roman"/>
              </w:rPr>
            </w:pPr>
            <w:r w:rsidRPr="008B1C9A">
              <w:rPr>
                <w:rFonts w:ascii="Times New Roman" w:hAnsi="Times New Roman" w:cs="Times New Roman"/>
              </w:rPr>
              <w:t>vs</w:t>
            </w:r>
          </w:p>
          <w:p w:rsidR="008B1C9A" w:rsidRPr="008B1C9A" w:rsidRDefault="008B1C9A" w:rsidP="008B1C9A">
            <w:pPr>
              <w:ind w:left="72" w:hanging="72"/>
              <w:rPr>
                <w:rFonts w:ascii="Times New Roman" w:hAnsi="Times New Roman" w:cs="Times New Roman"/>
              </w:rPr>
            </w:pPr>
            <w:r w:rsidRPr="008B1C9A">
              <w:rPr>
                <w:rFonts w:ascii="Times New Roman" w:hAnsi="Times New Roman" w:cs="Times New Roman"/>
                <w:b/>
                <w:caps/>
              </w:rPr>
              <w:t>Mark Redwine</w:t>
            </w:r>
            <w:r w:rsidRPr="008B1C9A">
              <w:rPr>
                <w:rFonts w:ascii="Times New Roman" w:hAnsi="Times New Roman" w:cs="Times New Roman"/>
              </w:rPr>
              <w:t>,</w:t>
            </w:r>
          </w:p>
          <w:p w:rsidR="008B1C9A" w:rsidRPr="008B1C9A" w:rsidRDefault="008B1C9A" w:rsidP="008B1C9A">
            <w:pPr>
              <w:rPr>
                <w:rFonts w:ascii="Times New Roman" w:hAnsi="Times New Roman" w:cs="Times New Roman"/>
                <w:caps/>
              </w:rPr>
            </w:pPr>
            <w:r w:rsidRPr="008B1C9A">
              <w:rPr>
                <w:rFonts w:ascii="Times New Roman" w:hAnsi="Times New Roman" w:cs="Times New Roman"/>
              </w:rPr>
              <w:t>Defendant</w:t>
            </w:r>
          </w:p>
        </w:tc>
        <w:tc>
          <w:tcPr>
            <w:tcW w:w="4231" w:type="dxa"/>
            <w:vMerge/>
          </w:tcPr>
          <w:p w:rsidR="008B1C9A" w:rsidRPr="008B1C9A" w:rsidRDefault="008B1C9A" w:rsidP="008B1C9A">
            <w:pPr>
              <w:ind w:left="72" w:hanging="72"/>
              <w:jc w:val="center"/>
              <w:rPr>
                <w:rFonts w:ascii="Times New Roman" w:hAnsi="Times New Roman" w:cs="Times New Roman"/>
                <w:caps/>
              </w:rPr>
            </w:pPr>
          </w:p>
        </w:tc>
      </w:tr>
      <w:tr w:rsidR="008B1C9A" w:rsidTr="008B1C9A">
        <w:tc>
          <w:tcPr>
            <w:tcW w:w="5958" w:type="dxa"/>
          </w:tcPr>
          <w:p w:rsidR="008B1C9A" w:rsidRPr="008B1C9A" w:rsidRDefault="008B1C9A" w:rsidP="008B1C9A">
            <w:pPr>
              <w:spacing w:line="240" w:lineRule="auto"/>
              <w:ind w:left="72" w:hanging="72"/>
              <w:contextualSpacing/>
              <w:rPr>
                <w:rFonts w:ascii="Times New Roman" w:hAnsi="Times New Roman" w:cs="Times New Roman"/>
              </w:rPr>
            </w:pPr>
            <w:r w:rsidRPr="008B1C9A">
              <w:rPr>
                <w:rFonts w:ascii="Times New Roman" w:hAnsi="Times New Roman" w:cs="Times New Roman"/>
              </w:rPr>
              <w:t xml:space="preserve">Douglas K. Wilson, </w:t>
            </w:r>
            <w:smartTag w:uri="urn:schemas-microsoft-com:office:smarttags" w:element="place">
              <w:smartTag w:uri="urn:schemas-microsoft-com:office:smarttags" w:element="PlaceName">
                <w:r w:rsidRPr="008B1C9A">
                  <w:rPr>
                    <w:rFonts w:ascii="Times New Roman" w:hAnsi="Times New Roman" w:cs="Times New Roman"/>
                  </w:rPr>
                  <w:t>Colorado</w:t>
                </w:r>
              </w:smartTag>
              <w:r w:rsidRPr="008B1C9A">
                <w:rPr>
                  <w:rFonts w:ascii="Times New Roman" w:hAnsi="Times New Roman" w:cs="Times New Roman"/>
                </w:rPr>
                <w:t xml:space="preserve"> </w:t>
              </w:r>
              <w:smartTag w:uri="urn:schemas-microsoft-com:office:smarttags" w:element="PlaceType">
                <w:r w:rsidRPr="008B1C9A">
                  <w:rPr>
                    <w:rFonts w:ascii="Times New Roman" w:hAnsi="Times New Roman" w:cs="Times New Roman"/>
                  </w:rPr>
                  <w:t>State</w:t>
                </w:r>
              </w:smartTag>
            </w:smartTag>
            <w:r w:rsidRPr="008B1C9A">
              <w:rPr>
                <w:rFonts w:ascii="Times New Roman" w:hAnsi="Times New Roman" w:cs="Times New Roman"/>
              </w:rPr>
              <w:t xml:space="preserve"> Public Defender</w:t>
            </w:r>
          </w:p>
          <w:p w:rsidR="008B1C9A" w:rsidRPr="008B1C9A" w:rsidRDefault="008B1C9A" w:rsidP="008B1C9A">
            <w:pPr>
              <w:spacing w:line="240" w:lineRule="auto"/>
              <w:ind w:left="72" w:hanging="72"/>
              <w:contextualSpacing/>
              <w:rPr>
                <w:rFonts w:ascii="Times New Roman" w:hAnsi="Times New Roman" w:cs="Times New Roman"/>
              </w:rPr>
            </w:pPr>
            <w:r w:rsidRPr="008B1C9A">
              <w:rPr>
                <w:rFonts w:ascii="Times New Roman" w:hAnsi="Times New Roman" w:cs="Times New Roman"/>
              </w:rPr>
              <w:t>John Moran, #36019</w:t>
            </w:r>
          </w:p>
          <w:p w:rsidR="008B1C9A" w:rsidRPr="008B1C9A" w:rsidRDefault="008B1C9A" w:rsidP="008B1C9A">
            <w:pPr>
              <w:spacing w:line="240" w:lineRule="auto"/>
              <w:ind w:left="72" w:hanging="72"/>
              <w:contextualSpacing/>
              <w:rPr>
                <w:rFonts w:ascii="Times New Roman" w:hAnsi="Times New Roman" w:cs="Times New Roman"/>
              </w:rPr>
            </w:pPr>
            <w:r w:rsidRPr="008B1C9A">
              <w:rPr>
                <w:rFonts w:ascii="Times New Roman" w:hAnsi="Times New Roman" w:cs="Times New Roman"/>
              </w:rPr>
              <w:t>Deputy State Public Defender</w:t>
            </w:r>
          </w:p>
          <w:p w:rsidR="008B1C9A" w:rsidRPr="008B1C9A" w:rsidRDefault="008B1C9A" w:rsidP="008B1C9A">
            <w:pPr>
              <w:spacing w:line="240" w:lineRule="auto"/>
              <w:ind w:left="72" w:hanging="72"/>
              <w:contextualSpacing/>
              <w:rPr>
                <w:rFonts w:ascii="Times New Roman" w:hAnsi="Times New Roman" w:cs="Times New Roman"/>
              </w:rPr>
            </w:pPr>
            <w:r w:rsidRPr="008B1C9A">
              <w:rPr>
                <w:rFonts w:ascii="Times New Roman" w:hAnsi="Times New Roman" w:cs="Times New Roman"/>
              </w:rPr>
              <w:t>Durango Regional of the Colorado Public Defender</w:t>
            </w:r>
          </w:p>
          <w:p w:rsidR="008B1C9A" w:rsidRPr="008B1C9A" w:rsidRDefault="008B1C9A" w:rsidP="008B1C9A">
            <w:pPr>
              <w:spacing w:line="240" w:lineRule="auto"/>
              <w:ind w:left="72" w:hanging="72"/>
              <w:contextualSpacing/>
              <w:rPr>
                <w:rFonts w:ascii="Times New Roman" w:hAnsi="Times New Roman" w:cs="Times New Roman"/>
              </w:rPr>
            </w:pPr>
            <w:r w:rsidRPr="008B1C9A">
              <w:rPr>
                <w:rFonts w:ascii="Times New Roman" w:hAnsi="Times New Roman" w:cs="Times New Roman"/>
              </w:rPr>
              <w:t>175 Mercado Drive, Suite 250 Durango, CO   81301</w:t>
            </w:r>
          </w:p>
          <w:p w:rsidR="008B1C9A" w:rsidRPr="008B1C9A" w:rsidRDefault="008B1C9A" w:rsidP="008B1C9A">
            <w:pPr>
              <w:spacing w:line="240" w:lineRule="auto"/>
              <w:ind w:left="72" w:hanging="72"/>
              <w:contextualSpacing/>
              <w:rPr>
                <w:rFonts w:ascii="Times New Roman" w:hAnsi="Times New Roman" w:cs="Times New Roman"/>
              </w:rPr>
            </w:pPr>
            <w:r w:rsidRPr="008B1C9A">
              <w:rPr>
                <w:rFonts w:ascii="Times New Roman" w:hAnsi="Times New Roman" w:cs="Times New Roman"/>
              </w:rPr>
              <w:t xml:space="preserve">Phone </w:t>
            </w:r>
            <w:r w:rsidR="0081185D">
              <w:rPr>
                <w:rFonts w:ascii="Times New Roman" w:hAnsi="Times New Roman" w:cs="Times New Roman"/>
              </w:rPr>
              <w:t xml:space="preserve">970-247-9284      Fax </w:t>
            </w:r>
            <w:r w:rsidRPr="008B1C9A">
              <w:rPr>
                <w:rFonts w:ascii="Times New Roman" w:hAnsi="Times New Roman" w:cs="Times New Roman"/>
              </w:rPr>
              <w:t>(970) 259-6497</w:t>
            </w:r>
          </w:p>
          <w:p w:rsidR="008B1C9A" w:rsidRPr="008B1C9A" w:rsidRDefault="008B1C9A" w:rsidP="0081185D">
            <w:pPr>
              <w:spacing w:line="240" w:lineRule="auto"/>
              <w:contextualSpacing/>
              <w:rPr>
                <w:rFonts w:ascii="Times New Roman" w:hAnsi="Times New Roman" w:cs="Times New Roman"/>
              </w:rPr>
            </w:pPr>
          </w:p>
        </w:tc>
        <w:tc>
          <w:tcPr>
            <w:tcW w:w="4231" w:type="dxa"/>
          </w:tcPr>
          <w:p w:rsidR="008B1C9A" w:rsidRPr="008B1C9A" w:rsidRDefault="008B1C9A" w:rsidP="008B1C9A">
            <w:pPr>
              <w:ind w:left="72" w:hanging="72"/>
              <w:rPr>
                <w:rFonts w:ascii="Times New Roman" w:hAnsi="Times New Roman" w:cs="Times New Roman"/>
                <w:caps/>
              </w:rPr>
            </w:pPr>
            <w:r w:rsidRPr="008B1C9A">
              <w:rPr>
                <w:rFonts w:ascii="Times New Roman" w:hAnsi="Times New Roman" w:cs="Times New Roman"/>
              </w:rPr>
              <w:t>Case No. 17CR343</w:t>
            </w:r>
          </w:p>
          <w:p w:rsidR="008B1C9A" w:rsidRPr="008B1C9A" w:rsidRDefault="008B1C9A" w:rsidP="008B1C9A">
            <w:pPr>
              <w:rPr>
                <w:rFonts w:ascii="Times New Roman" w:hAnsi="Times New Roman" w:cs="Times New Roman"/>
              </w:rPr>
            </w:pPr>
          </w:p>
          <w:p w:rsidR="008B1C9A" w:rsidRPr="008B1C9A" w:rsidRDefault="008B1C9A" w:rsidP="008B1C9A">
            <w:pPr>
              <w:rPr>
                <w:rFonts w:ascii="Times New Roman" w:hAnsi="Times New Roman" w:cs="Times New Roman"/>
                <w:caps/>
              </w:rPr>
            </w:pPr>
            <w:r w:rsidRPr="008B1C9A">
              <w:rPr>
                <w:rFonts w:ascii="Times New Roman" w:hAnsi="Times New Roman" w:cs="Times New Roman"/>
              </w:rPr>
              <w:t>Division 1</w:t>
            </w:r>
          </w:p>
        </w:tc>
      </w:tr>
      <w:tr w:rsidR="008B1C9A" w:rsidTr="008B1C9A">
        <w:trPr>
          <w:cantSplit/>
        </w:trPr>
        <w:tc>
          <w:tcPr>
            <w:tcW w:w="10189" w:type="dxa"/>
            <w:gridSpan w:val="2"/>
          </w:tcPr>
          <w:p w:rsidR="008B1C9A" w:rsidRPr="00FE4F66" w:rsidRDefault="008B1C9A" w:rsidP="008B1C9A"/>
          <w:p w:rsidR="008B1C9A" w:rsidRPr="008B1C9A" w:rsidRDefault="008B1C9A" w:rsidP="008B1C9A">
            <w:pPr>
              <w:ind w:left="72" w:hanging="72"/>
              <w:jc w:val="center"/>
              <w:rPr>
                <w:rFonts w:ascii="Times New Roman" w:hAnsi="Times New Roman" w:cs="Times New Roman"/>
                <w:b/>
              </w:rPr>
            </w:pPr>
            <w:r w:rsidRPr="008B1C9A">
              <w:rPr>
                <w:rFonts w:ascii="Times New Roman" w:hAnsi="Times New Roman" w:cs="Times New Roman"/>
                <w:b/>
              </w:rPr>
              <w:t>OBJECTION TO EXPANDED MEDIA COVERAGE</w:t>
            </w:r>
          </w:p>
          <w:p w:rsidR="008B1C9A" w:rsidRDefault="008B1C9A" w:rsidP="008B1C9A">
            <w:pPr>
              <w:ind w:left="72" w:hanging="72"/>
              <w:jc w:val="center"/>
              <w:rPr>
                <w:rFonts w:ascii="Times New Roman" w:hAnsi="Times New Roman" w:cs="Times New Roman"/>
                <w:b/>
              </w:rPr>
            </w:pPr>
            <w:r w:rsidRPr="008B1C9A">
              <w:rPr>
                <w:rFonts w:ascii="Times New Roman" w:hAnsi="Times New Roman" w:cs="Times New Roman"/>
                <w:b/>
              </w:rPr>
              <w:t>[D</w:t>
            </w:r>
            <w:r w:rsidR="00A76DC6">
              <w:rPr>
                <w:rFonts w:ascii="Times New Roman" w:hAnsi="Times New Roman" w:cs="Times New Roman"/>
                <w:b/>
              </w:rPr>
              <w:t>-</w:t>
            </w:r>
            <w:r w:rsidRPr="008B1C9A">
              <w:rPr>
                <w:rFonts w:ascii="Times New Roman" w:hAnsi="Times New Roman" w:cs="Times New Roman"/>
                <w:b/>
              </w:rPr>
              <w:t>8]</w:t>
            </w:r>
          </w:p>
          <w:p w:rsidR="0081185D" w:rsidRPr="008B1C9A" w:rsidRDefault="0081185D" w:rsidP="008B1C9A">
            <w:pPr>
              <w:ind w:left="72" w:hanging="72"/>
              <w:jc w:val="center"/>
              <w:rPr>
                <w:b/>
                <w:caps/>
              </w:rPr>
            </w:pPr>
            <w:r>
              <w:rPr>
                <w:rFonts w:ascii="Times New Roman" w:hAnsi="Times New Roman" w:cs="Times New Roman"/>
                <w:b/>
              </w:rPr>
              <w:t>[Public Access]</w:t>
            </w:r>
          </w:p>
        </w:tc>
      </w:tr>
    </w:tbl>
    <w:p w:rsidR="008B1C9A" w:rsidRDefault="008B1C9A" w:rsidP="008B1C9A">
      <w:pPr>
        <w:pStyle w:val="BodyText"/>
        <w:ind w:left="720"/>
      </w:pPr>
    </w:p>
    <w:p w:rsidR="008B1C9A" w:rsidRDefault="008B1C9A" w:rsidP="008B1C9A">
      <w:pPr>
        <w:pStyle w:val="BodyText"/>
        <w:ind w:right="1008"/>
      </w:pPr>
    </w:p>
    <w:p w:rsidR="008B1C9A" w:rsidRDefault="008B1C9A" w:rsidP="008B1C9A">
      <w:pPr>
        <w:pStyle w:val="BodyText"/>
        <w:ind w:left="720" w:right="630"/>
        <w:rPr>
          <w:b/>
        </w:rPr>
      </w:pPr>
      <w:r>
        <w:t xml:space="preserve">Mr. </w:t>
      </w:r>
      <w:proofErr w:type="spellStart"/>
      <w:r>
        <w:t>Redwine</w:t>
      </w:r>
      <w:proofErr w:type="spellEnd"/>
      <w:r>
        <w:t xml:space="preserve">, through counsel, </w:t>
      </w:r>
      <w:r w:rsidRPr="0053450A">
        <w:t>moves for the following</w:t>
      </w:r>
      <w:r>
        <w:t>:</w:t>
      </w:r>
    </w:p>
    <w:p w:rsidR="008B1C9A" w:rsidRDefault="008B1C9A" w:rsidP="008B1C9A">
      <w:pPr>
        <w:pStyle w:val="BodyText"/>
        <w:ind w:left="720" w:right="630"/>
        <w:rPr>
          <w:b/>
        </w:rPr>
      </w:pPr>
    </w:p>
    <w:p w:rsidR="008B1C9A" w:rsidRDefault="008B1C9A" w:rsidP="008B1C9A">
      <w:pPr>
        <w:pStyle w:val="BodyText"/>
        <w:ind w:left="720" w:right="630"/>
        <w:jc w:val="center"/>
      </w:pPr>
      <w:r>
        <w:rPr>
          <w:u w:val="single"/>
        </w:rPr>
        <w:t>Standards for Authorizing Coverage</w:t>
      </w:r>
    </w:p>
    <w:p w:rsidR="008B1C9A" w:rsidRDefault="008B1C9A" w:rsidP="008B1C9A">
      <w:pPr>
        <w:pStyle w:val="BodyText"/>
        <w:ind w:left="720" w:right="630"/>
        <w:rPr>
          <w:sz w:val="16"/>
        </w:rPr>
      </w:pPr>
    </w:p>
    <w:p w:rsidR="008B1C9A" w:rsidRDefault="008B1C9A" w:rsidP="008B1C9A">
      <w:pPr>
        <w:pStyle w:val="BodyText"/>
        <w:numPr>
          <w:ilvl w:val="0"/>
          <w:numId w:val="2"/>
        </w:numPr>
        <w:ind w:left="720" w:right="630"/>
      </w:pPr>
      <w:r>
        <w:t>Rules 1 and 2 of Chapter 38 of the Colorado Court Rules, Public Access to Records and Information, provide the standards for authorizing expanded media coverage. In determining whether expanded media coverage should be permitted, a judge shall consider the following factors:</w:t>
      </w:r>
    </w:p>
    <w:p w:rsidR="008B1C9A" w:rsidRDefault="008B1C9A" w:rsidP="008B1C9A">
      <w:pPr>
        <w:pStyle w:val="BodyText"/>
        <w:ind w:left="720" w:right="630"/>
      </w:pPr>
    </w:p>
    <w:p w:rsidR="008B1C9A" w:rsidRDefault="008B1C9A" w:rsidP="008B1C9A">
      <w:pPr>
        <w:pStyle w:val="BodyText"/>
        <w:numPr>
          <w:ilvl w:val="0"/>
          <w:numId w:val="1"/>
        </w:numPr>
        <w:ind w:left="1260" w:right="630"/>
      </w:pPr>
      <w:r>
        <w:t>Whether there is a reasonable likelihood that expanded media coverage would interfere with the rights of the parties to a fair</w:t>
      </w:r>
      <w:r w:rsidRPr="00617E5C">
        <w:rPr>
          <w:spacing w:val="-18"/>
        </w:rPr>
        <w:t xml:space="preserve"> </w:t>
      </w:r>
      <w:r>
        <w:t>trial;</w:t>
      </w:r>
    </w:p>
    <w:p w:rsidR="008B1C9A" w:rsidRDefault="008B1C9A" w:rsidP="008B1C9A">
      <w:pPr>
        <w:pStyle w:val="BodyText"/>
        <w:numPr>
          <w:ilvl w:val="0"/>
          <w:numId w:val="1"/>
        </w:numPr>
        <w:ind w:left="1260" w:right="630"/>
      </w:pPr>
      <w:r>
        <w:t>Whether there is a reasonable likelihood that expanded media coverage would unduly detract from the solemnity, decorum and dignity of the</w:t>
      </w:r>
      <w:r w:rsidRPr="00617E5C">
        <w:rPr>
          <w:spacing w:val="-13"/>
        </w:rPr>
        <w:t xml:space="preserve"> </w:t>
      </w:r>
      <w:r>
        <w:t>Court;</w:t>
      </w:r>
    </w:p>
    <w:p w:rsidR="008B1C9A" w:rsidRDefault="008B1C9A" w:rsidP="008B1C9A">
      <w:pPr>
        <w:pStyle w:val="BodyText"/>
        <w:numPr>
          <w:ilvl w:val="0"/>
          <w:numId w:val="1"/>
        </w:numPr>
        <w:ind w:left="1260" w:right="630"/>
      </w:pPr>
      <w:r>
        <w:t>Whether expanded media coverage would create adverse effects that would be</w:t>
      </w:r>
      <w:r w:rsidRPr="00617E5C">
        <w:rPr>
          <w:spacing w:val="-17"/>
        </w:rPr>
        <w:t xml:space="preserve"> </w:t>
      </w:r>
      <w:r>
        <w:t>greater than those caused by traditional media</w:t>
      </w:r>
      <w:r w:rsidRPr="00617E5C">
        <w:rPr>
          <w:spacing w:val="-12"/>
        </w:rPr>
        <w:t xml:space="preserve"> </w:t>
      </w:r>
      <w:r>
        <w:t>coverage.</w:t>
      </w:r>
    </w:p>
    <w:p w:rsidR="008B1C9A" w:rsidRPr="008B1C9A" w:rsidRDefault="008B1C9A" w:rsidP="008B1C9A">
      <w:pPr>
        <w:pStyle w:val="BodyText"/>
        <w:ind w:left="1260" w:right="630"/>
        <w:jc w:val="center"/>
      </w:pPr>
      <w:r w:rsidRPr="008B1C9A">
        <w:rPr>
          <w:u w:val="single"/>
        </w:rPr>
        <w:lastRenderedPageBreak/>
        <w:t>Law and Analysis</w:t>
      </w:r>
    </w:p>
    <w:p w:rsidR="008B1C9A" w:rsidRDefault="008B1C9A" w:rsidP="008B1C9A">
      <w:pPr>
        <w:pStyle w:val="BodyText"/>
        <w:ind w:left="720" w:right="630"/>
      </w:pPr>
    </w:p>
    <w:p w:rsidR="008B1C9A" w:rsidRDefault="008B1C9A" w:rsidP="008B1C9A">
      <w:pPr>
        <w:pStyle w:val="BodyText"/>
        <w:numPr>
          <w:ilvl w:val="0"/>
          <w:numId w:val="2"/>
        </w:numPr>
        <w:ind w:left="720" w:right="630"/>
      </w:pPr>
      <w:r>
        <w:t xml:space="preserve">Denial of the media's request(s) is necessary to protect Mr. </w:t>
      </w:r>
      <w:proofErr w:type="spellStart"/>
      <w:r>
        <w:t>Redwine's</w:t>
      </w:r>
      <w:proofErr w:type="spellEnd"/>
      <w:r>
        <w:t xml:space="preserve"> rights under the United States Constitution and Colorado Constitution to a fair trial by an impartial jury, to effective assistance of counsel, to be presumed innocent, and to due process of law, among other fundamental rights. Those rights support both a presumption against expanded media coverage and placing the burden of proving the appropriateness of expanded media coverage on those who seek it. Further, the Colorado Supreme Court Rules, Chapter 38, Rule 2, "Media Coverage of Court Proceedings" sets out factors that a Court should consider </w:t>
      </w:r>
      <w:r>
        <w:rPr>
          <w:i/>
          <w:sz w:val="23"/>
        </w:rPr>
        <w:t xml:space="preserve">before </w:t>
      </w:r>
      <w:r>
        <w:t>permitting expanded media coverage thereby indicating a presumption against expanded media coverage, and that the burden</w:t>
      </w:r>
      <w:r>
        <w:rPr>
          <w:spacing w:val="18"/>
        </w:rPr>
        <w:t xml:space="preserve"> </w:t>
      </w:r>
      <w:r>
        <w:t>of</w:t>
      </w:r>
      <w:r>
        <w:rPr>
          <w:spacing w:val="18"/>
        </w:rPr>
        <w:t xml:space="preserve"> </w:t>
      </w:r>
      <w:r>
        <w:t>proof</w:t>
      </w:r>
      <w:r>
        <w:rPr>
          <w:spacing w:val="16"/>
        </w:rPr>
        <w:t xml:space="preserve"> </w:t>
      </w:r>
      <w:r>
        <w:t>lies</w:t>
      </w:r>
      <w:r>
        <w:rPr>
          <w:spacing w:val="22"/>
        </w:rPr>
        <w:t xml:space="preserve"> </w:t>
      </w:r>
      <w:r>
        <w:t>with</w:t>
      </w:r>
      <w:r>
        <w:rPr>
          <w:spacing w:val="20"/>
        </w:rPr>
        <w:t xml:space="preserve"> </w:t>
      </w:r>
      <w:r>
        <w:t>the</w:t>
      </w:r>
      <w:r>
        <w:rPr>
          <w:spacing w:val="12"/>
        </w:rPr>
        <w:t xml:space="preserve"> </w:t>
      </w:r>
      <w:r>
        <w:t>media</w:t>
      </w:r>
      <w:r>
        <w:rPr>
          <w:spacing w:val="21"/>
        </w:rPr>
        <w:t xml:space="preserve"> </w:t>
      </w:r>
      <w:r>
        <w:t>to</w:t>
      </w:r>
      <w:r>
        <w:rPr>
          <w:spacing w:val="18"/>
        </w:rPr>
        <w:t xml:space="preserve"> </w:t>
      </w:r>
      <w:r>
        <w:t>prove</w:t>
      </w:r>
      <w:r>
        <w:rPr>
          <w:spacing w:val="24"/>
        </w:rPr>
        <w:t xml:space="preserve"> </w:t>
      </w:r>
      <w:r>
        <w:t>that</w:t>
      </w:r>
      <w:r>
        <w:rPr>
          <w:spacing w:val="18"/>
        </w:rPr>
        <w:t xml:space="preserve"> </w:t>
      </w:r>
      <w:r>
        <w:t>its</w:t>
      </w:r>
      <w:r>
        <w:rPr>
          <w:spacing w:val="14"/>
        </w:rPr>
        <w:t xml:space="preserve"> </w:t>
      </w:r>
      <w:r>
        <w:t>activities</w:t>
      </w:r>
      <w:r>
        <w:rPr>
          <w:spacing w:val="25"/>
        </w:rPr>
        <w:t xml:space="preserve"> </w:t>
      </w:r>
      <w:r>
        <w:t>will</w:t>
      </w:r>
      <w:r>
        <w:rPr>
          <w:spacing w:val="30"/>
        </w:rPr>
        <w:t xml:space="preserve"> </w:t>
      </w:r>
      <w:r>
        <w:t>not</w:t>
      </w:r>
      <w:r>
        <w:rPr>
          <w:spacing w:val="16"/>
        </w:rPr>
        <w:t xml:space="preserve"> </w:t>
      </w:r>
      <w:r>
        <w:t>interfere</w:t>
      </w:r>
      <w:r>
        <w:rPr>
          <w:spacing w:val="21"/>
        </w:rPr>
        <w:t xml:space="preserve"> </w:t>
      </w:r>
      <w:r>
        <w:t>with</w:t>
      </w:r>
      <w:r>
        <w:rPr>
          <w:spacing w:val="20"/>
        </w:rPr>
        <w:t xml:space="preserve"> </w:t>
      </w:r>
      <w:r>
        <w:t>the</w:t>
      </w:r>
      <w:r>
        <w:rPr>
          <w:spacing w:val="19"/>
        </w:rPr>
        <w:t xml:space="preserve"> </w:t>
      </w:r>
      <w:r>
        <w:t>court proceedings or defendant’s rights.</w:t>
      </w:r>
    </w:p>
    <w:p w:rsidR="008B1C9A" w:rsidRPr="004B0919" w:rsidRDefault="008B1C9A" w:rsidP="008B1C9A">
      <w:pPr>
        <w:pStyle w:val="BodyText"/>
        <w:numPr>
          <w:ilvl w:val="0"/>
          <w:numId w:val="2"/>
        </w:numPr>
        <w:ind w:left="720" w:right="630"/>
      </w:pPr>
      <w:r>
        <w:rPr>
          <w:noProof/>
          <w:sz w:val="23"/>
        </w:rPr>
        <mc:AlternateContent>
          <mc:Choice Requires="wps">
            <w:drawing>
              <wp:anchor distT="0" distB="0" distL="114300" distR="114300" simplePos="0" relativeHeight="251659264" behindDoc="1" locked="0" layoutInCell="1" allowOverlap="1" wp14:anchorId="634F638F" wp14:editId="77AB4A2D">
                <wp:simplePos x="0" y="0"/>
                <wp:positionH relativeFrom="column">
                  <wp:posOffset>12145</wp:posOffset>
                </wp:positionH>
                <wp:positionV relativeFrom="paragraph">
                  <wp:posOffset>6959</wp:posOffset>
                </wp:positionV>
                <wp:extent cx="0" cy="0"/>
                <wp:effectExtent l="0" t="0" r="0" b="0"/>
                <wp:wrapNone/>
                <wp:docPr id="7" name="Line 4"/>
                <wp:cNvGraphicFramePr/>
                <a:graphic xmlns:a="http://schemas.openxmlformats.org/drawingml/2006/main">
                  <a:graphicData uri="http://schemas.microsoft.com/office/word/2010/wordprocessingShape">
                    <wps:wsp>
                      <wps:cNvCnPr/>
                      <wps:spPr bwMode="auto">
                        <a:xfrm>
                          <a:off x="0" y="0"/>
                          <a:ext cx="0" cy="0"/>
                        </a:xfrm>
                        <a:prstGeom prst="line">
                          <a:avLst/>
                        </a:prstGeom>
                        <a:noFill/>
                        <a:ln w="6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5pt,.55pt" to=".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" strokeweight=".16808mm"/>
            </w:pict>
          </mc:Fallback>
        </mc:AlternateContent>
      </w:r>
      <w:r w:rsidRPr="00617E5C">
        <w:rPr>
          <w:w w:val="105"/>
          <w:sz w:val="23"/>
        </w:rPr>
        <w:t xml:space="preserve">Applying these factors, it is clear that this Court should not authorize expanded media coverage for the July 23, 2012 advisement, nor any other proceeding, in this case. Expanding media coverage heightens the risk of prejudicing Mr. </w:t>
      </w:r>
      <w:proofErr w:type="spellStart"/>
      <w:r w:rsidRPr="00617E5C">
        <w:rPr>
          <w:w w:val="105"/>
          <w:sz w:val="23"/>
        </w:rPr>
        <w:t>Redwine'</w:t>
      </w:r>
      <w:r>
        <w:rPr>
          <w:w w:val="105"/>
          <w:sz w:val="23"/>
        </w:rPr>
        <w:t>s</w:t>
      </w:r>
      <w:proofErr w:type="spellEnd"/>
      <w:r w:rsidRPr="00617E5C">
        <w:rPr>
          <w:w w:val="105"/>
          <w:sz w:val="23"/>
        </w:rPr>
        <w:t xml:space="preserve"> constitutional right to a fair trial. </w:t>
      </w:r>
      <w:r w:rsidRPr="00617E5C">
        <w:rPr>
          <w:i/>
          <w:w w:val="105"/>
        </w:rPr>
        <w:t xml:space="preserve">See </w:t>
      </w:r>
      <w:r w:rsidRPr="00617E5C">
        <w:rPr>
          <w:w w:val="105"/>
          <w:sz w:val="23"/>
        </w:rPr>
        <w:t xml:space="preserve">Audrey </w:t>
      </w:r>
      <w:proofErr w:type="spellStart"/>
      <w:r w:rsidRPr="00617E5C">
        <w:rPr>
          <w:w w:val="105"/>
          <w:sz w:val="23"/>
        </w:rPr>
        <w:t>Winograde</w:t>
      </w:r>
      <w:proofErr w:type="spellEnd"/>
      <w:r w:rsidRPr="00617E5C">
        <w:rPr>
          <w:w w:val="105"/>
          <w:sz w:val="23"/>
        </w:rPr>
        <w:t xml:space="preserve">, </w:t>
      </w:r>
      <w:r w:rsidRPr="00617E5C">
        <w:rPr>
          <w:i/>
          <w:w w:val="105"/>
        </w:rPr>
        <w:t xml:space="preserve">Cameras in the Courtroom: Whose Right Is It Anyway? </w:t>
      </w:r>
      <w:r w:rsidRPr="00617E5C">
        <w:rPr>
          <w:rFonts w:ascii="Arial"/>
          <w:w w:val="105"/>
          <w:sz w:val="22"/>
        </w:rPr>
        <w:t xml:space="preserve">4 </w:t>
      </w:r>
      <w:r w:rsidRPr="00617E5C">
        <w:rPr>
          <w:w w:val="105"/>
          <w:sz w:val="23"/>
        </w:rPr>
        <w:t>Sw. J.L.</w:t>
      </w:r>
      <w:r>
        <w:rPr>
          <w:w w:val="105"/>
          <w:sz w:val="23"/>
        </w:rPr>
        <w:t xml:space="preserve"> </w:t>
      </w:r>
      <w:r w:rsidRPr="00617E5C">
        <w:rPr>
          <w:w w:val="105"/>
          <w:sz w:val="23"/>
        </w:rPr>
        <w:t>&amp;</w:t>
      </w:r>
      <w:r>
        <w:rPr>
          <w:w w:val="105"/>
          <w:sz w:val="23"/>
        </w:rPr>
        <w:t xml:space="preserve"> </w:t>
      </w:r>
      <w:r w:rsidRPr="00617E5C">
        <w:rPr>
          <w:w w:val="105"/>
          <w:sz w:val="23"/>
        </w:rPr>
        <w:t xml:space="preserve">Trade Am. 23 (1997) at 29 ("There is little dispute that from the moment a trial judge announces that a case will be televised, the case becomes </w:t>
      </w:r>
      <w:proofErr w:type="gramStart"/>
      <w:r w:rsidRPr="00617E5C">
        <w:rPr>
          <w:w w:val="105"/>
          <w:sz w:val="23"/>
        </w:rPr>
        <w:t xml:space="preserve">a </w:t>
      </w:r>
      <w:proofErr w:type="spellStart"/>
      <w:r w:rsidRPr="00617E5C">
        <w:rPr>
          <w:w w:val="105"/>
          <w:sz w:val="23"/>
        </w:rPr>
        <w:t>'cause</w:t>
      </w:r>
      <w:proofErr w:type="spellEnd"/>
      <w:proofErr w:type="gramEnd"/>
      <w:r w:rsidRPr="00617E5C">
        <w:rPr>
          <w:w w:val="105"/>
          <w:sz w:val="23"/>
        </w:rPr>
        <w:t xml:space="preserve"> </w:t>
      </w:r>
      <w:proofErr w:type="spellStart"/>
      <w:r w:rsidRPr="00617E5C">
        <w:rPr>
          <w:w w:val="105"/>
          <w:sz w:val="23"/>
        </w:rPr>
        <w:t>celebre</w:t>
      </w:r>
      <w:proofErr w:type="spellEnd"/>
      <w:r w:rsidRPr="00617E5C">
        <w:rPr>
          <w:w w:val="105"/>
          <w:sz w:val="23"/>
        </w:rPr>
        <w:t>.' The morbid details become</w:t>
      </w:r>
      <w:r w:rsidRPr="00617E5C">
        <w:rPr>
          <w:spacing w:val="-17"/>
          <w:w w:val="105"/>
          <w:sz w:val="23"/>
        </w:rPr>
        <w:t xml:space="preserve"> </w:t>
      </w:r>
      <w:r w:rsidRPr="00617E5C">
        <w:rPr>
          <w:w w:val="105"/>
          <w:sz w:val="23"/>
        </w:rPr>
        <w:t>interesting</w:t>
      </w:r>
      <w:r w:rsidRPr="00617E5C">
        <w:rPr>
          <w:spacing w:val="-13"/>
          <w:w w:val="105"/>
          <w:sz w:val="23"/>
        </w:rPr>
        <w:t xml:space="preserve"> </w:t>
      </w:r>
      <w:r w:rsidRPr="00617E5C">
        <w:rPr>
          <w:w w:val="105"/>
          <w:sz w:val="23"/>
        </w:rPr>
        <w:t>to</w:t>
      </w:r>
      <w:r w:rsidRPr="00617E5C">
        <w:rPr>
          <w:spacing w:val="-17"/>
          <w:w w:val="105"/>
          <w:sz w:val="23"/>
        </w:rPr>
        <w:t xml:space="preserve"> </w:t>
      </w:r>
      <w:r w:rsidRPr="00617E5C">
        <w:rPr>
          <w:w w:val="105"/>
          <w:sz w:val="23"/>
        </w:rPr>
        <w:t>the</w:t>
      </w:r>
      <w:r w:rsidRPr="00617E5C">
        <w:rPr>
          <w:spacing w:val="-20"/>
          <w:w w:val="105"/>
          <w:sz w:val="23"/>
        </w:rPr>
        <w:t xml:space="preserve"> </w:t>
      </w:r>
      <w:r w:rsidRPr="00617E5C">
        <w:rPr>
          <w:w w:val="105"/>
          <w:sz w:val="23"/>
        </w:rPr>
        <w:t>whole</w:t>
      </w:r>
      <w:r w:rsidRPr="00617E5C">
        <w:rPr>
          <w:spacing w:val="-15"/>
          <w:w w:val="105"/>
          <w:sz w:val="23"/>
        </w:rPr>
        <w:t xml:space="preserve"> </w:t>
      </w:r>
      <w:r w:rsidRPr="00617E5C">
        <w:rPr>
          <w:w w:val="105"/>
          <w:sz w:val="23"/>
        </w:rPr>
        <w:t>community,</w:t>
      </w:r>
      <w:r w:rsidRPr="00617E5C">
        <w:rPr>
          <w:spacing w:val="-9"/>
          <w:w w:val="105"/>
          <w:sz w:val="23"/>
        </w:rPr>
        <w:t xml:space="preserve"> </w:t>
      </w:r>
      <w:r w:rsidRPr="00617E5C">
        <w:rPr>
          <w:w w:val="105"/>
          <w:sz w:val="23"/>
        </w:rPr>
        <w:t>including</w:t>
      </w:r>
      <w:r w:rsidRPr="00617E5C">
        <w:rPr>
          <w:spacing w:val="-18"/>
          <w:w w:val="105"/>
          <w:sz w:val="23"/>
        </w:rPr>
        <w:t xml:space="preserve"> </w:t>
      </w:r>
      <w:r w:rsidRPr="00617E5C">
        <w:rPr>
          <w:w w:val="105"/>
          <w:sz w:val="23"/>
        </w:rPr>
        <w:t>prospective</w:t>
      </w:r>
      <w:r w:rsidRPr="00617E5C">
        <w:rPr>
          <w:spacing w:val="-11"/>
          <w:w w:val="105"/>
          <w:sz w:val="23"/>
        </w:rPr>
        <w:t xml:space="preserve"> </w:t>
      </w:r>
      <w:r w:rsidRPr="00617E5C">
        <w:rPr>
          <w:w w:val="105"/>
          <w:sz w:val="23"/>
        </w:rPr>
        <w:t>jurors.").</w:t>
      </w:r>
      <w:r w:rsidRPr="00617E5C">
        <w:rPr>
          <w:spacing w:val="-5"/>
          <w:w w:val="105"/>
          <w:sz w:val="23"/>
        </w:rPr>
        <w:t xml:space="preserve"> </w:t>
      </w:r>
      <w:r w:rsidRPr="00617E5C">
        <w:rPr>
          <w:w w:val="105"/>
          <w:sz w:val="23"/>
        </w:rPr>
        <w:t>Expanded</w:t>
      </w:r>
      <w:r w:rsidRPr="00617E5C">
        <w:rPr>
          <w:spacing w:val="-2"/>
          <w:w w:val="105"/>
          <w:sz w:val="23"/>
        </w:rPr>
        <w:t xml:space="preserve"> </w:t>
      </w:r>
      <w:r w:rsidRPr="00617E5C">
        <w:rPr>
          <w:w w:val="105"/>
          <w:sz w:val="23"/>
        </w:rPr>
        <w:t>television coverage, due to the nature of</w:t>
      </w:r>
      <w:r>
        <w:rPr>
          <w:w w:val="105"/>
          <w:sz w:val="23"/>
        </w:rPr>
        <w:t xml:space="preserve"> the</w:t>
      </w:r>
      <w:r w:rsidRPr="00617E5C">
        <w:rPr>
          <w:w w:val="105"/>
          <w:sz w:val="23"/>
        </w:rPr>
        <w:t xml:space="preserve"> medium, will only increase the chance of tainting prospective jurors.</w:t>
      </w:r>
      <w:r w:rsidRPr="00617E5C">
        <w:rPr>
          <w:spacing w:val="-12"/>
          <w:w w:val="105"/>
          <w:sz w:val="23"/>
        </w:rPr>
        <w:t xml:space="preserve"> </w:t>
      </w:r>
      <w:r w:rsidRPr="00617E5C">
        <w:rPr>
          <w:w w:val="105"/>
          <w:sz w:val="23"/>
        </w:rPr>
        <w:t>Cf.</w:t>
      </w:r>
      <w:r w:rsidRPr="00617E5C">
        <w:rPr>
          <w:spacing w:val="-16"/>
          <w:w w:val="105"/>
          <w:sz w:val="23"/>
        </w:rPr>
        <w:t xml:space="preserve"> </w:t>
      </w:r>
      <w:r w:rsidRPr="00617E5C">
        <w:rPr>
          <w:w w:val="105"/>
          <w:sz w:val="23"/>
        </w:rPr>
        <w:t>Christo</w:t>
      </w:r>
      <w:r w:rsidRPr="00617E5C">
        <w:rPr>
          <w:spacing w:val="-8"/>
          <w:w w:val="105"/>
          <w:sz w:val="23"/>
        </w:rPr>
        <w:t xml:space="preserve"> </w:t>
      </w:r>
      <w:proofErr w:type="spellStart"/>
      <w:r w:rsidRPr="00617E5C">
        <w:rPr>
          <w:w w:val="105"/>
          <w:sz w:val="23"/>
        </w:rPr>
        <w:t>Lasssiter</w:t>
      </w:r>
      <w:proofErr w:type="spellEnd"/>
      <w:r w:rsidRPr="00617E5C">
        <w:rPr>
          <w:w w:val="105"/>
          <w:sz w:val="23"/>
        </w:rPr>
        <w:t>,</w:t>
      </w:r>
      <w:r w:rsidRPr="00617E5C">
        <w:rPr>
          <w:spacing w:val="-11"/>
          <w:w w:val="105"/>
          <w:sz w:val="23"/>
        </w:rPr>
        <w:t xml:space="preserve"> </w:t>
      </w:r>
      <w:r w:rsidRPr="00617E5C">
        <w:rPr>
          <w:i/>
          <w:w w:val="105"/>
        </w:rPr>
        <w:t>The</w:t>
      </w:r>
      <w:r w:rsidRPr="00617E5C">
        <w:rPr>
          <w:i/>
          <w:spacing w:val="-15"/>
          <w:w w:val="105"/>
        </w:rPr>
        <w:t xml:space="preserve"> </w:t>
      </w:r>
      <w:r w:rsidRPr="00617E5C">
        <w:rPr>
          <w:i/>
          <w:w w:val="105"/>
        </w:rPr>
        <w:t>Appearance</w:t>
      </w:r>
      <w:r w:rsidRPr="00617E5C">
        <w:rPr>
          <w:i/>
          <w:spacing w:val="-11"/>
          <w:w w:val="105"/>
        </w:rPr>
        <w:t xml:space="preserve"> </w:t>
      </w:r>
      <w:r w:rsidRPr="00617E5C">
        <w:rPr>
          <w:i/>
          <w:w w:val="105"/>
        </w:rPr>
        <w:t>of</w:t>
      </w:r>
      <w:r w:rsidRPr="00617E5C">
        <w:rPr>
          <w:i/>
          <w:spacing w:val="-16"/>
          <w:w w:val="105"/>
        </w:rPr>
        <w:t xml:space="preserve"> </w:t>
      </w:r>
      <w:r w:rsidRPr="00617E5C">
        <w:rPr>
          <w:i/>
          <w:w w:val="105"/>
        </w:rPr>
        <w:t>Justice:</w:t>
      </w:r>
      <w:r w:rsidRPr="00617E5C">
        <w:rPr>
          <w:i/>
          <w:spacing w:val="-9"/>
          <w:w w:val="105"/>
        </w:rPr>
        <w:t xml:space="preserve"> </w:t>
      </w:r>
      <w:r w:rsidRPr="00617E5C">
        <w:rPr>
          <w:i/>
          <w:w w:val="105"/>
        </w:rPr>
        <w:t>TV</w:t>
      </w:r>
      <w:r w:rsidRPr="00617E5C">
        <w:rPr>
          <w:i/>
          <w:spacing w:val="-18"/>
          <w:w w:val="105"/>
        </w:rPr>
        <w:t xml:space="preserve"> </w:t>
      </w:r>
      <w:r w:rsidRPr="00617E5C">
        <w:rPr>
          <w:i/>
          <w:w w:val="105"/>
        </w:rPr>
        <w:t>or</w:t>
      </w:r>
      <w:r w:rsidRPr="00617E5C">
        <w:rPr>
          <w:i/>
          <w:spacing w:val="-18"/>
          <w:w w:val="105"/>
        </w:rPr>
        <w:t xml:space="preserve"> </w:t>
      </w:r>
      <w:r w:rsidRPr="00617E5C">
        <w:rPr>
          <w:i/>
          <w:w w:val="105"/>
        </w:rPr>
        <w:t>Not</w:t>
      </w:r>
      <w:r w:rsidRPr="00617E5C">
        <w:rPr>
          <w:i/>
          <w:spacing w:val="-18"/>
          <w:w w:val="105"/>
        </w:rPr>
        <w:t xml:space="preserve"> </w:t>
      </w:r>
      <w:r w:rsidRPr="00617E5C">
        <w:rPr>
          <w:i/>
          <w:w w:val="105"/>
        </w:rPr>
        <w:t>TV-That</w:t>
      </w:r>
      <w:r w:rsidRPr="00617E5C">
        <w:rPr>
          <w:i/>
          <w:spacing w:val="-16"/>
          <w:w w:val="105"/>
        </w:rPr>
        <w:t xml:space="preserve"> </w:t>
      </w:r>
      <w:r w:rsidRPr="00617E5C">
        <w:rPr>
          <w:i/>
          <w:w w:val="105"/>
        </w:rPr>
        <w:t>is</w:t>
      </w:r>
      <w:r w:rsidRPr="00617E5C">
        <w:rPr>
          <w:i/>
          <w:spacing w:val="-17"/>
          <w:w w:val="105"/>
        </w:rPr>
        <w:t xml:space="preserve"> </w:t>
      </w:r>
      <w:r w:rsidRPr="00617E5C">
        <w:rPr>
          <w:i/>
          <w:w w:val="105"/>
        </w:rPr>
        <w:t>the</w:t>
      </w:r>
      <w:r w:rsidRPr="00617E5C">
        <w:rPr>
          <w:i/>
          <w:spacing w:val="-15"/>
          <w:w w:val="105"/>
        </w:rPr>
        <w:t xml:space="preserve"> </w:t>
      </w:r>
      <w:r w:rsidRPr="00617E5C">
        <w:rPr>
          <w:i/>
          <w:w w:val="105"/>
        </w:rPr>
        <w:t>Question,</w:t>
      </w:r>
      <w:r w:rsidRPr="00617E5C">
        <w:rPr>
          <w:i/>
          <w:spacing w:val="-16"/>
          <w:w w:val="105"/>
        </w:rPr>
        <w:t xml:space="preserve"> </w:t>
      </w:r>
      <w:r w:rsidRPr="00617E5C">
        <w:rPr>
          <w:w w:val="105"/>
          <w:sz w:val="23"/>
        </w:rPr>
        <w:t>86</w:t>
      </w:r>
      <w:r>
        <w:t xml:space="preserve"> </w:t>
      </w:r>
      <w:r w:rsidRPr="00617E5C">
        <w:rPr>
          <w:w w:val="105"/>
        </w:rPr>
        <w:t>J. Crim. L. &amp; Criminology 928, 930:</w:t>
      </w:r>
    </w:p>
    <w:p w:rsidR="008B1C9A" w:rsidRPr="00617E5C" w:rsidRDefault="008B1C9A" w:rsidP="008B1C9A">
      <w:pPr>
        <w:pStyle w:val="BodyText"/>
        <w:ind w:left="720" w:right="630"/>
      </w:pPr>
    </w:p>
    <w:p w:rsidR="008B1C9A" w:rsidRDefault="008B1C9A" w:rsidP="008B1C9A">
      <w:pPr>
        <w:pStyle w:val="BodyText"/>
        <w:ind w:left="1440" w:right="630"/>
      </w:pPr>
      <w:r>
        <w:rPr>
          <w:w w:val="105"/>
        </w:rPr>
        <w:t xml:space="preserve">But in the vast majority of cases courts adjudicate highly personal lives of people and compromise nothing of interest to the general public </w:t>
      </w:r>
      <w:r>
        <w:rPr>
          <w:noProof/>
        </w:rPr>
        <mc:AlternateContent>
          <mc:Choice Requires="wps">
            <w:drawing>
              <wp:anchor distT="0" distB="0" distL="114300" distR="114300" simplePos="0" relativeHeight="251660288" behindDoc="1" locked="0" layoutInCell="1" allowOverlap="1" wp14:anchorId="01498967" wp14:editId="7D28DB01">
                <wp:simplePos x="0" y="0"/>
                <wp:positionH relativeFrom="column">
                  <wp:posOffset>2523</wp:posOffset>
                </wp:positionH>
                <wp:positionV relativeFrom="paragraph">
                  <wp:posOffset>-941157</wp:posOffset>
                </wp:positionV>
                <wp:extent cx="0" cy="0"/>
                <wp:effectExtent l="0" t="0" r="0" b="0"/>
                <wp:wrapNone/>
                <wp:docPr id="10" name="Line 7"/>
                <wp:cNvGraphicFramePr/>
                <a:graphic xmlns:a="http://schemas.openxmlformats.org/drawingml/2006/main">
                  <a:graphicData uri="http://schemas.microsoft.com/office/word/2010/wordprocessingShape">
                    <wps:wsp>
                      <wps:cNvCnPr/>
                      <wps:spPr bwMode="auto">
                        <a:xfrm>
                          <a:off x="0" y="0"/>
                          <a:ext cx="0" cy="0"/>
                        </a:xfrm>
                        <a:prstGeom prst="line">
                          <a:avLst/>
                        </a:prstGeom>
                        <a:noFill/>
                        <a:ln w="9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pt,-74.1pt" to=".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" strokeweight=".25028mm"/>
            </w:pict>
          </mc:Fallback>
        </mc:AlternateContent>
      </w:r>
      <w:r>
        <w:rPr>
          <w:w w:val="105"/>
        </w:rPr>
        <w:t>beyond that of prurient possible voyeurism. The trial process represents human effort to do justice in an imperfect world. In-court camera coverage... can be prejudicial to the very process it seeks to showcase by infecting it with political bias of all kinds, petty, personal and demographic...</w:t>
      </w:r>
    </w:p>
    <w:p w:rsidR="008B1C9A" w:rsidRDefault="008B1C9A" w:rsidP="008B1C9A">
      <w:pPr>
        <w:pStyle w:val="BodyText"/>
        <w:ind w:left="720" w:right="630"/>
      </w:pPr>
    </w:p>
    <w:p w:rsidR="008B1C9A" w:rsidRDefault="008B1C9A" w:rsidP="008B1C9A">
      <w:pPr>
        <w:pStyle w:val="BodyText"/>
        <w:ind w:left="720" w:right="630"/>
        <w:rPr>
          <w:sz w:val="23"/>
        </w:rPr>
      </w:pPr>
      <w:r>
        <w:rPr>
          <w:w w:val="105"/>
        </w:rPr>
        <w:t>There</w:t>
      </w:r>
      <w:r>
        <w:rPr>
          <w:spacing w:val="-7"/>
          <w:w w:val="105"/>
        </w:rPr>
        <w:t xml:space="preserve"> </w:t>
      </w:r>
      <w:r>
        <w:rPr>
          <w:w w:val="105"/>
        </w:rPr>
        <w:t>are</w:t>
      </w:r>
      <w:r>
        <w:rPr>
          <w:spacing w:val="-15"/>
          <w:w w:val="105"/>
        </w:rPr>
        <w:t xml:space="preserve"> </w:t>
      </w:r>
      <w:r>
        <w:rPr>
          <w:w w:val="105"/>
        </w:rPr>
        <w:t>three</w:t>
      </w:r>
      <w:r>
        <w:rPr>
          <w:spacing w:val="-7"/>
          <w:w w:val="105"/>
        </w:rPr>
        <w:t xml:space="preserve"> </w:t>
      </w:r>
      <w:r>
        <w:rPr>
          <w:w w:val="105"/>
        </w:rPr>
        <w:t>prejudicial</w:t>
      </w:r>
      <w:r>
        <w:rPr>
          <w:spacing w:val="2"/>
          <w:w w:val="105"/>
        </w:rPr>
        <w:t xml:space="preserve"> </w:t>
      </w:r>
      <w:r>
        <w:rPr>
          <w:w w:val="105"/>
        </w:rPr>
        <w:t>effects</w:t>
      </w:r>
      <w:r>
        <w:rPr>
          <w:spacing w:val="-6"/>
          <w:w w:val="105"/>
        </w:rPr>
        <w:t xml:space="preserve"> </w:t>
      </w:r>
      <w:r>
        <w:rPr>
          <w:w w:val="105"/>
        </w:rPr>
        <w:t>of</w:t>
      </w:r>
      <w:r>
        <w:rPr>
          <w:spacing w:val="-8"/>
          <w:w w:val="105"/>
        </w:rPr>
        <w:t xml:space="preserve"> </w:t>
      </w:r>
      <w:r>
        <w:rPr>
          <w:w w:val="105"/>
        </w:rPr>
        <w:t>cameras</w:t>
      </w:r>
      <w:r>
        <w:rPr>
          <w:spacing w:val="-11"/>
          <w:w w:val="105"/>
        </w:rPr>
        <w:t xml:space="preserve"> </w:t>
      </w:r>
      <w:r>
        <w:rPr>
          <w:w w:val="105"/>
        </w:rPr>
        <w:t>in</w:t>
      </w:r>
      <w:r>
        <w:rPr>
          <w:spacing w:val="-11"/>
          <w:w w:val="105"/>
        </w:rPr>
        <w:t xml:space="preserve"> </w:t>
      </w:r>
      <w:r>
        <w:rPr>
          <w:w w:val="105"/>
        </w:rPr>
        <w:t>the</w:t>
      </w:r>
      <w:r>
        <w:rPr>
          <w:spacing w:val="-14"/>
          <w:w w:val="105"/>
        </w:rPr>
        <w:t xml:space="preserve"> </w:t>
      </w:r>
      <w:r>
        <w:rPr>
          <w:w w:val="105"/>
        </w:rPr>
        <w:t>courtroom,</w:t>
      </w:r>
      <w:r>
        <w:rPr>
          <w:spacing w:val="5"/>
          <w:w w:val="105"/>
        </w:rPr>
        <w:t xml:space="preserve"> </w:t>
      </w:r>
      <w:r>
        <w:rPr>
          <w:w w:val="105"/>
        </w:rPr>
        <w:t>First,</w:t>
      </w:r>
      <w:r>
        <w:rPr>
          <w:spacing w:val="-8"/>
          <w:w w:val="105"/>
        </w:rPr>
        <w:t xml:space="preserve"> </w:t>
      </w:r>
      <w:r>
        <w:rPr>
          <w:w w:val="105"/>
        </w:rPr>
        <w:t>the</w:t>
      </w:r>
      <w:r>
        <w:rPr>
          <w:spacing w:val="-18"/>
          <w:w w:val="105"/>
        </w:rPr>
        <w:t xml:space="preserve"> </w:t>
      </w:r>
      <w:r>
        <w:rPr>
          <w:w w:val="105"/>
        </w:rPr>
        <w:t>trial, in reality, operates on a larger theme than the matter under charge; the judicial process is corrupted by a substitution of the solemn, calm, deliberate judgment of the finder of fact for the outrage of an inflamed public. Second, the adversarial system, designed for neutral and dispassionate judicial prosecution, transforms into an instrument of a politically motivated prosecution. Third, the public outcry leads to political vice of judicial disposition</w:t>
      </w:r>
      <w:r>
        <w:rPr>
          <w:spacing w:val="-9"/>
          <w:w w:val="105"/>
        </w:rPr>
        <w:t xml:space="preserve"> </w:t>
      </w:r>
      <w:r>
        <w:rPr>
          <w:w w:val="105"/>
        </w:rPr>
        <w:t>against</w:t>
      </w:r>
      <w:r>
        <w:rPr>
          <w:spacing w:val="-14"/>
          <w:w w:val="105"/>
        </w:rPr>
        <w:t xml:space="preserve"> </w:t>
      </w:r>
      <w:r>
        <w:rPr>
          <w:w w:val="105"/>
        </w:rPr>
        <w:t>a</w:t>
      </w:r>
      <w:r>
        <w:rPr>
          <w:spacing w:val="-21"/>
          <w:w w:val="105"/>
        </w:rPr>
        <w:t xml:space="preserve"> </w:t>
      </w:r>
      <w:r>
        <w:rPr>
          <w:w w:val="105"/>
        </w:rPr>
        <w:t>disfavored</w:t>
      </w:r>
      <w:r>
        <w:rPr>
          <w:spacing w:val="-10"/>
          <w:w w:val="105"/>
        </w:rPr>
        <w:t xml:space="preserve"> </w:t>
      </w:r>
      <w:r>
        <w:rPr>
          <w:w w:val="105"/>
        </w:rPr>
        <w:t>minority.</w:t>
      </w:r>
      <w:r>
        <w:t xml:space="preserve"> </w:t>
      </w:r>
      <w:proofErr w:type="gramStart"/>
      <w:r>
        <w:rPr>
          <w:i/>
          <w:sz w:val="23"/>
        </w:rPr>
        <w:t xml:space="preserve">Id. </w:t>
      </w:r>
      <w:r>
        <w:rPr>
          <w:sz w:val="23"/>
        </w:rPr>
        <w:t>at 934-35.</w:t>
      </w:r>
      <w:proofErr w:type="gramEnd"/>
    </w:p>
    <w:p w:rsidR="008B1C9A" w:rsidRPr="00C975B7" w:rsidRDefault="008B1C9A" w:rsidP="008B1C9A">
      <w:pPr>
        <w:pStyle w:val="BodyText"/>
        <w:numPr>
          <w:ilvl w:val="0"/>
          <w:numId w:val="2"/>
        </w:numPr>
        <w:ind w:left="720" w:right="630"/>
      </w:pPr>
      <w:r w:rsidRPr="00C975B7">
        <w:rPr>
          <w:w w:val="105"/>
          <w:sz w:val="23"/>
        </w:rPr>
        <w:t>Local and national media outlets</w:t>
      </w:r>
      <w:r>
        <w:rPr>
          <w:w w:val="105"/>
          <w:sz w:val="23"/>
        </w:rPr>
        <w:t xml:space="preserve"> are extensively covering this </w:t>
      </w:r>
      <w:r w:rsidRPr="00C975B7">
        <w:rPr>
          <w:w w:val="105"/>
          <w:sz w:val="23"/>
        </w:rPr>
        <w:t xml:space="preserve">case. Hence, the probability of tainting potential jurors is already of great concern and this Court </w:t>
      </w:r>
      <w:r w:rsidRPr="00C975B7">
        <w:rPr>
          <w:w w:val="105"/>
          <w:sz w:val="23"/>
        </w:rPr>
        <w:lastRenderedPageBreak/>
        <w:t xml:space="preserve">should take every opportunity it has to control the media's impact on this case and protect the rights </w:t>
      </w:r>
      <w:proofErr w:type="gramStart"/>
      <w:r w:rsidRPr="00C975B7">
        <w:rPr>
          <w:w w:val="105"/>
          <w:sz w:val="23"/>
        </w:rPr>
        <w:t xml:space="preserve">of  </w:t>
      </w:r>
      <w:proofErr w:type="spellStart"/>
      <w:r w:rsidRPr="00C975B7">
        <w:rPr>
          <w:w w:val="105"/>
          <w:sz w:val="23"/>
        </w:rPr>
        <w:t>Mr.</w:t>
      </w:r>
      <w:r>
        <w:t>Redwine</w:t>
      </w:r>
      <w:proofErr w:type="spellEnd"/>
      <w:proofErr w:type="gramEnd"/>
      <w:r>
        <w:t xml:space="preserve"> by denying any request  for expanded  media coverage in this case.  </w:t>
      </w:r>
      <w:r w:rsidRPr="00C975B7">
        <w:rPr>
          <w:i/>
        </w:rPr>
        <w:t xml:space="preserve">See </w:t>
      </w:r>
      <w:r>
        <w:t xml:space="preserve">Robert   Hardaway </w:t>
      </w:r>
      <w:r w:rsidRPr="00C975B7">
        <w:rPr>
          <w:sz w:val="23"/>
        </w:rPr>
        <w:t xml:space="preserve">&amp; Douglas R. </w:t>
      </w:r>
      <w:proofErr w:type="spellStart"/>
      <w:r w:rsidRPr="00C975B7">
        <w:rPr>
          <w:sz w:val="23"/>
        </w:rPr>
        <w:t>Tumminello</w:t>
      </w:r>
      <w:proofErr w:type="spellEnd"/>
      <w:r w:rsidRPr="00C975B7">
        <w:rPr>
          <w:sz w:val="23"/>
        </w:rPr>
        <w:t xml:space="preserve">, </w:t>
      </w:r>
      <w:r w:rsidRPr="00C975B7">
        <w:rPr>
          <w:i/>
        </w:rPr>
        <w:t xml:space="preserve">Pretrial Publicity in Criminal Cases of National Notoriety: Constructing a Remedy for the Remediless Wrong, </w:t>
      </w:r>
      <w:r w:rsidRPr="00C975B7">
        <w:rPr>
          <w:sz w:val="23"/>
        </w:rPr>
        <w:t xml:space="preserve">46 Am. U.L. </w:t>
      </w:r>
      <w:proofErr w:type="spellStart"/>
      <w:r w:rsidRPr="00C975B7">
        <w:rPr>
          <w:sz w:val="23"/>
        </w:rPr>
        <w:t>Plev</w:t>
      </w:r>
      <w:proofErr w:type="spellEnd"/>
      <w:r w:rsidRPr="00C975B7">
        <w:rPr>
          <w:sz w:val="23"/>
        </w:rPr>
        <w:t>. 39, 44 (1996):</w:t>
      </w:r>
    </w:p>
    <w:p w:rsidR="008B1C9A" w:rsidRPr="00C975B7" w:rsidRDefault="008B1C9A" w:rsidP="008B1C9A">
      <w:pPr>
        <w:pStyle w:val="BodyText"/>
        <w:ind w:left="720" w:right="630"/>
      </w:pPr>
    </w:p>
    <w:p w:rsidR="008B1C9A" w:rsidRDefault="008B1C9A" w:rsidP="008B1C9A">
      <w:pPr>
        <w:pStyle w:val="BodyText"/>
        <w:ind w:left="1440" w:right="630"/>
        <w:jc w:val="both"/>
        <w:rPr>
          <w:w w:val="105"/>
        </w:rPr>
      </w:pPr>
      <w:r>
        <w:rPr>
          <w:w w:val="105"/>
        </w:rPr>
        <w:t>[P]retrial publicity becomes a more difficult issue for the trial court judge to resolve when the media and the nation are watching. Otherwise ordinary crimes that would receive nominal local treatment become subjects of national engrossment when they involve 'murder and mystery, society, sex, and</w:t>
      </w:r>
      <w:r>
        <w:rPr>
          <w:spacing w:val="-12"/>
          <w:w w:val="105"/>
        </w:rPr>
        <w:t xml:space="preserve"> </w:t>
      </w:r>
      <w:r>
        <w:rPr>
          <w:w w:val="105"/>
        </w:rPr>
        <w:t>suspense.</w:t>
      </w:r>
      <w:r>
        <w:rPr>
          <w:spacing w:val="-7"/>
          <w:w w:val="105"/>
        </w:rPr>
        <w:t xml:space="preserve"> </w:t>
      </w:r>
      <w:r>
        <w:rPr>
          <w:w w:val="105"/>
        </w:rPr>
        <w:t>Accordingly,</w:t>
      </w:r>
      <w:r>
        <w:rPr>
          <w:spacing w:val="-4"/>
          <w:w w:val="105"/>
        </w:rPr>
        <w:t xml:space="preserve"> </w:t>
      </w:r>
      <w:r>
        <w:rPr>
          <w:w w:val="105"/>
        </w:rPr>
        <w:t>media</w:t>
      </w:r>
      <w:r>
        <w:rPr>
          <w:spacing w:val="-12"/>
          <w:w w:val="105"/>
        </w:rPr>
        <w:t xml:space="preserve"> </w:t>
      </w:r>
      <w:r>
        <w:rPr>
          <w:w w:val="105"/>
        </w:rPr>
        <w:t>treatment</w:t>
      </w:r>
      <w:r>
        <w:rPr>
          <w:spacing w:val="-7"/>
          <w:w w:val="105"/>
        </w:rPr>
        <w:t xml:space="preserve"> </w:t>
      </w:r>
      <w:r>
        <w:rPr>
          <w:w w:val="105"/>
        </w:rPr>
        <w:t>of</w:t>
      </w:r>
      <w:r>
        <w:rPr>
          <w:spacing w:val="-21"/>
          <w:w w:val="105"/>
        </w:rPr>
        <w:t xml:space="preserve"> </w:t>
      </w:r>
      <w:r>
        <w:rPr>
          <w:w w:val="105"/>
        </w:rPr>
        <w:t>the</w:t>
      </w:r>
      <w:r>
        <w:rPr>
          <w:spacing w:val="-20"/>
          <w:w w:val="105"/>
        </w:rPr>
        <w:t xml:space="preserve"> </w:t>
      </w:r>
      <w:r>
        <w:rPr>
          <w:w w:val="105"/>
        </w:rPr>
        <w:t>crime</w:t>
      </w:r>
      <w:r>
        <w:rPr>
          <w:spacing w:val="-17"/>
          <w:w w:val="105"/>
        </w:rPr>
        <w:t xml:space="preserve"> </w:t>
      </w:r>
      <w:r>
        <w:rPr>
          <w:w w:val="105"/>
        </w:rPr>
        <w:t>is</w:t>
      </w:r>
      <w:r>
        <w:rPr>
          <w:spacing w:val="-13"/>
          <w:w w:val="105"/>
        </w:rPr>
        <w:t xml:space="preserve"> </w:t>
      </w:r>
      <w:r>
        <w:rPr>
          <w:w w:val="105"/>
        </w:rPr>
        <w:t>more</w:t>
      </w:r>
      <w:r>
        <w:rPr>
          <w:spacing w:val="-14"/>
          <w:w w:val="105"/>
        </w:rPr>
        <w:t xml:space="preserve"> </w:t>
      </w:r>
      <w:r>
        <w:rPr>
          <w:w w:val="105"/>
        </w:rPr>
        <w:t>widespread, and resultant publicity about the crime reaches a larger population of potential jurors than in less notorious cases. In addition, potential jurors are more likely to have been exposed to more in-depth, all-encompassing publicity</w:t>
      </w:r>
      <w:r>
        <w:rPr>
          <w:spacing w:val="-10"/>
          <w:w w:val="105"/>
        </w:rPr>
        <w:t xml:space="preserve"> </w:t>
      </w:r>
      <w:r>
        <w:rPr>
          <w:w w:val="105"/>
        </w:rPr>
        <w:t>about</w:t>
      </w:r>
      <w:r>
        <w:rPr>
          <w:spacing w:val="-11"/>
          <w:w w:val="105"/>
        </w:rPr>
        <w:t xml:space="preserve"> </w:t>
      </w:r>
      <w:r>
        <w:rPr>
          <w:w w:val="105"/>
        </w:rPr>
        <w:t>the</w:t>
      </w:r>
      <w:r>
        <w:rPr>
          <w:spacing w:val="-20"/>
          <w:w w:val="105"/>
        </w:rPr>
        <w:t xml:space="preserve"> </w:t>
      </w:r>
      <w:r>
        <w:rPr>
          <w:w w:val="105"/>
        </w:rPr>
        <w:t>crime,</w:t>
      </w:r>
      <w:r>
        <w:rPr>
          <w:spacing w:val="-15"/>
          <w:w w:val="105"/>
        </w:rPr>
        <w:t xml:space="preserve"> </w:t>
      </w:r>
      <w:r>
        <w:rPr>
          <w:w w:val="105"/>
        </w:rPr>
        <w:t>the</w:t>
      </w:r>
      <w:r>
        <w:rPr>
          <w:spacing w:val="-20"/>
          <w:w w:val="105"/>
        </w:rPr>
        <w:t xml:space="preserve"> </w:t>
      </w:r>
      <w:r>
        <w:rPr>
          <w:w w:val="105"/>
        </w:rPr>
        <w:t>defendant,</w:t>
      </w:r>
      <w:r>
        <w:rPr>
          <w:spacing w:val="-11"/>
          <w:w w:val="105"/>
        </w:rPr>
        <w:t xml:space="preserve"> </w:t>
      </w:r>
      <w:r>
        <w:rPr>
          <w:w w:val="105"/>
        </w:rPr>
        <w:t>or</w:t>
      </w:r>
      <w:r>
        <w:rPr>
          <w:spacing w:val="-10"/>
          <w:w w:val="105"/>
        </w:rPr>
        <w:t xml:space="preserve"> </w:t>
      </w:r>
      <w:r>
        <w:rPr>
          <w:w w:val="105"/>
        </w:rPr>
        <w:t>the</w:t>
      </w:r>
      <w:r>
        <w:rPr>
          <w:spacing w:val="-19"/>
          <w:w w:val="105"/>
        </w:rPr>
        <w:t xml:space="preserve"> </w:t>
      </w:r>
      <w:r>
        <w:rPr>
          <w:w w:val="105"/>
        </w:rPr>
        <w:t>victim.</w:t>
      </w:r>
    </w:p>
    <w:p w:rsidR="008B1C9A" w:rsidRDefault="008B1C9A" w:rsidP="008B1C9A">
      <w:pPr>
        <w:pStyle w:val="BodyText"/>
        <w:ind w:left="720" w:right="630"/>
        <w:jc w:val="both"/>
        <w:rPr>
          <w:w w:val="105"/>
        </w:rPr>
      </w:pPr>
    </w:p>
    <w:p w:rsidR="008B1C9A" w:rsidRPr="004B0919" w:rsidRDefault="008B1C9A" w:rsidP="008B1C9A">
      <w:pPr>
        <w:pStyle w:val="BodyText"/>
        <w:numPr>
          <w:ilvl w:val="0"/>
          <w:numId w:val="3"/>
        </w:numPr>
        <w:ind w:left="720" w:right="630"/>
        <w:rPr>
          <w:w w:val="105"/>
        </w:rPr>
      </w:pPr>
      <w:r>
        <w:rPr>
          <w:w w:val="105"/>
        </w:rPr>
        <w:t>D</w:t>
      </w:r>
      <w:r>
        <w:rPr>
          <w:w w:val="105"/>
          <w:sz w:val="23"/>
        </w:rPr>
        <w:t>enying requests for expanded media in this case will not prejudice the media's ability to cover this case. Most likely, the media will present in force within and without the courthouse as evidenced by the media's coverage and speculation regarding this</w:t>
      </w:r>
      <w:r>
        <w:rPr>
          <w:spacing w:val="-15"/>
          <w:w w:val="105"/>
          <w:sz w:val="23"/>
        </w:rPr>
        <w:t xml:space="preserve"> </w:t>
      </w:r>
      <w:r>
        <w:rPr>
          <w:w w:val="105"/>
          <w:sz w:val="23"/>
        </w:rPr>
        <w:t>case</w:t>
      </w:r>
      <w:r>
        <w:rPr>
          <w:spacing w:val="-15"/>
          <w:w w:val="105"/>
          <w:sz w:val="23"/>
        </w:rPr>
        <w:t xml:space="preserve"> </w:t>
      </w:r>
      <w:r>
        <w:rPr>
          <w:w w:val="105"/>
          <w:sz w:val="23"/>
        </w:rPr>
        <w:t>thus</w:t>
      </w:r>
      <w:r>
        <w:rPr>
          <w:spacing w:val="-15"/>
          <w:w w:val="105"/>
          <w:sz w:val="23"/>
        </w:rPr>
        <w:t xml:space="preserve"> </w:t>
      </w:r>
      <w:r>
        <w:rPr>
          <w:w w:val="105"/>
          <w:sz w:val="23"/>
        </w:rPr>
        <w:t>far.</w:t>
      </w:r>
      <w:r>
        <w:rPr>
          <w:spacing w:val="-18"/>
          <w:w w:val="105"/>
          <w:sz w:val="23"/>
        </w:rPr>
        <w:t xml:space="preserve"> </w:t>
      </w:r>
      <w:r>
        <w:rPr>
          <w:w w:val="105"/>
          <w:sz w:val="23"/>
        </w:rPr>
        <w:t>There</w:t>
      </w:r>
      <w:r>
        <w:rPr>
          <w:spacing w:val="-15"/>
          <w:w w:val="105"/>
          <w:sz w:val="23"/>
        </w:rPr>
        <w:t xml:space="preserve"> </w:t>
      </w:r>
      <w:r>
        <w:rPr>
          <w:w w:val="105"/>
          <w:sz w:val="23"/>
        </w:rPr>
        <w:t>has</w:t>
      </w:r>
      <w:r>
        <w:rPr>
          <w:spacing w:val="-15"/>
          <w:w w:val="105"/>
          <w:sz w:val="23"/>
        </w:rPr>
        <w:t xml:space="preserve"> </w:t>
      </w:r>
      <w:r>
        <w:rPr>
          <w:w w:val="105"/>
          <w:sz w:val="23"/>
        </w:rPr>
        <w:t>been</w:t>
      </w:r>
      <w:r>
        <w:rPr>
          <w:spacing w:val="-10"/>
          <w:w w:val="105"/>
          <w:sz w:val="23"/>
        </w:rPr>
        <w:t xml:space="preserve"> </w:t>
      </w:r>
      <w:r>
        <w:rPr>
          <w:w w:val="105"/>
          <w:sz w:val="23"/>
        </w:rPr>
        <w:t>no</w:t>
      </w:r>
      <w:r>
        <w:rPr>
          <w:spacing w:val="-11"/>
          <w:w w:val="105"/>
          <w:sz w:val="23"/>
        </w:rPr>
        <w:t xml:space="preserve"> </w:t>
      </w:r>
      <w:r>
        <w:rPr>
          <w:w w:val="105"/>
          <w:sz w:val="23"/>
        </w:rPr>
        <w:t>shortage</w:t>
      </w:r>
      <w:r>
        <w:rPr>
          <w:spacing w:val="-15"/>
          <w:w w:val="105"/>
          <w:sz w:val="23"/>
        </w:rPr>
        <w:t xml:space="preserve"> </w:t>
      </w:r>
      <w:r>
        <w:rPr>
          <w:w w:val="105"/>
          <w:sz w:val="23"/>
        </w:rPr>
        <w:t>of images</w:t>
      </w:r>
      <w:r>
        <w:rPr>
          <w:spacing w:val="-8"/>
          <w:w w:val="105"/>
          <w:sz w:val="23"/>
        </w:rPr>
        <w:t xml:space="preserve"> </w:t>
      </w:r>
      <w:r>
        <w:rPr>
          <w:w w:val="105"/>
          <w:sz w:val="23"/>
        </w:rPr>
        <w:t>of</w:t>
      </w:r>
      <w:r>
        <w:rPr>
          <w:spacing w:val="-13"/>
          <w:w w:val="105"/>
          <w:sz w:val="23"/>
        </w:rPr>
        <w:t xml:space="preserve"> </w:t>
      </w:r>
      <w:r>
        <w:rPr>
          <w:w w:val="105"/>
          <w:sz w:val="23"/>
        </w:rPr>
        <w:t>Mr.</w:t>
      </w:r>
      <w:r>
        <w:rPr>
          <w:spacing w:val="-10"/>
          <w:w w:val="105"/>
          <w:sz w:val="23"/>
        </w:rPr>
        <w:t xml:space="preserve"> </w:t>
      </w:r>
      <w:proofErr w:type="spellStart"/>
      <w:r>
        <w:rPr>
          <w:w w:val="105"/>
          <w:sz w:val="23"/>
        </w:rPr>
        <w:t>Redwine</w:t>
      </w:r>
      <w:proofErr w:type="spellEnd"/>
      <w:r>
        <w:rPr>
          <w:w w:val="105"/>
          <w:sz w:val="23"/>
        </w:rPr>
        <w:t>.</w:t>
      </w:r>
      <w:r>
        <w:rPr>
          <w:spacing w:val="-8"/>
          <w:w w:val="105"/>
          <w:sz w:val="23"/>
        </w:rPr>
        <w:t xml:space="preserve"> </w:t>
      </w:r>
      <w:r>
        <w:rPr>
          <w:w w:val="105"/>
          <w:sz w:val="23"/>
        </w:rPr>
        <w:t>Thus,</w:t>
      </w:r>
      <w:r>
        <w:rPr>
          <w:spacing w:val="-10"/>
          <w:w w:val="105"/>
          <w:sz w:val="23"/>
        </w:rPr>
        <w:t xml:space="preserve"> </w:t>
      </w:r>
      <w:r>
        <w:rPr>
          <w:w w:val="105"/>
          <w:sz w:val="23"/>
        </w:rPr>
        <w:t>traditional</w:t>
      </w:r>
      <w:r>
        <w:rPr>
          <w:spacing w:val="5"/>
          <w:w w:val="105"/>
          <w:sz w:val="23"/>
        </w:rPr>
        <w:t xml:space="preserve"> </w:t>
      </w:r>
      <w:r>
        <w:rPr>
          <w:w w:val="105"/>
          <w:sz w:val="23"/>
        </w:rPr>
        <w:t xml:space="preserve">coverage, without the distractions of cameras and lights in the courtroom will serve the media's purpose without jeopardizing Mr. </w:t>
      </w:r>
      <w:proofErr w:type="spellStart"/>
      <w:r>
        <w:rPr>
          <w:w w:val="105"/>
          <w:sz w:val="23"/>
        </w:rPr>
        <w:t>Redwine's</w:t>
      </w:r>
      <w:proofErr w:type="spellEnd"/>
      <w:r>
        <w:rPr>
          <w:w w:val="105"/>
          <w:sz w:val="23"/>
        </w:rPr>
        <w:t xml:space="preserve"> constitutional rights to due process, a fair trial, and a fair and impartial jury. U.S. Const. amends. V, VI, VIII, XIV; Colo. Const. art. II, secs. 16, 18, 20, 23, 25;</w:t>
      </w:r>
      <w:r>
        <w:rPr>
          <w:spacing w:val="-7"/>
          <w:w w:val="105"/>
          <w:sz w:val="23"/>
        </w:rPr>
        <w:t xml:space="preserve"> </w:t>
      </w:r>
      <w:r>
        <w:rPr>
          <w:i/>
          <w:w w:val="105"/>
        </w:rPr>
        <w:t>see</w:t>
      </w:r>
      <w:r>
        <w:rPr>
          <w:i/>
          <w:spacing w:val="-14"/>
          <w:w w:val="105"/>
        </w:rPr>
        <w:t xml:space="preserve"> </w:t>
      </w:r>
      <w:r>
        <w:rPr>
          <w:i/>
          <w:w w:val="105"/>
        </w:rPr>
        <w:t>also</w:t>
      </w:r>
      <w:r>
        <w:rPr>
          <w:i/>
          <w:spacing w:val="-5"/>
          <w:w w:val="105"/>
        </w:rPr>
        <w:t xml:space="preserve"> </w:t>
      </w:r>
      <w:r>
        <w:rPr>
          <w:i/>
          <w:w w:val="105"/>
        </w:rPr>
        <w:t>People</w:t>
      </w:r>
      <w:r>
        <w:rPr>
          <w:i/>
          <w:spacing w:val="-8"/>
          <w:w w:val="105"/>
        </w:rPr>
        <w:t xml:space="preserve"> </w:t>
      </w:r>
      <w:r>
        <w:rPr>
          <w:i/>
          <w:w w:val="105"/>
        </w:rPr>
        <w:t>v.</w:t>
      </w:r>
      <w:r>
        <w:rPr>
          <w:i/>
          <w:spacing w:val="-17"/>
          <w:w w:val="105"/>
        </w:rPr>
        <w:t xml:space="preserve"> </w:t>
      </w:r>
      <w:r>
        <w:rPr>
          <w:i/>
          <w:w w:val="105"/>
        </w:rPr>
        <w:t>Botham,</w:t>
      </w:r>
      <w:r>
        <w:rPr>
          <w:i/>
          <w:spacing w:val="-18"/>
          <w:w w:val="105"/>
        </w:rPr>
        <w:t xml:space="preserve"> </w:t>
      </w:r>
      <w:r>
        <w:rPr>
          <w:w w:val="105"/>
          <w:sz w:val="23"/>
        </w:rPr>
        <w:t>629</w:t>
      </w:r>
      <w:r>
        <w:rPr>
          <w:spacing w:val="-11"/>
          <w:w w:val="105"/>
          <w:sz w:val="23"/>
        </w:rPr>
        <w:t xml:space="preserve"> </w:t>
      </w:r>
      <w:r>
        <w:rPr>
          <w:w w:val="105"/>
          <w:sz w:val="23"/>
        </w:rPr>
        <w:t>P.2d</w:t>
      </w:r>
      <w:r>
        <w:rPr>
          <w:spacing w:val="-9"/>
          <w:w w:val="105"/>
          <w:sz w:val="23"/>
        </w:rPr>
        <w:t xml:space="preserve"> </w:t>
      </w:r>
      <w:r>
        <w:rPr>
          <w:w w:val="105"/>
          <w:sz w:val="23"/>
        </w:rPr>
        <w:t>589</w:t>
      </w:r>
      <w:r>
        <w:rPr>
          <w:spacing w:val="-13"/>
          <w:w w:val="105"/>
          <w:sz w:val="23"/>
        </w:rPr>
        <w:t xml:space="preserve"> </w:t>
      </w:r>
      <w:r>
        <w:rPr>
          <w:w w:val="105"/>
          <w:sz w:val="23"/>
        </w:rPr>
        <w:t>(Colo.</w:t>
      </w:r>
      <w:r>
        <w:rPr>
          <w:spacing w:val="-9"/>
          <w:w w:val="105"/>
          <w:sz w:val="23"/>
        </w:rPr>
        <w:t xml:space="preserve"> </w:t>
      </w:r>
      <w:r>
        <w:rPr>
          <w:w w:val="105"/>
          <w:sz w:val="23"/>
        </w:rPr>
        <w:t>1981);</w:t>
      </w:r>
      <w:r>
        <w:rPr>
          <w:spacing w:val="-11"/>
          <w:w w:val="105"/>
          <w:sz w:val="23"/>
        </w:rPr>
        <w:t xml:space="preserve"> </w:t>
      </w:r>
      <w:r>
        <w:rPr>
          <w:i/>
          <w:w w:val="105"/>
        </w:rPr>
        <w:t>Sheppard</w:t>
      </w:r>
      <w:r>
        <w:rPr>
          <w:i/>
          <w:spacing w:val="-3"/>
          <w:w w:val="105"/>
        </w:rPr>
        <w:t xml:space="preserve"> </w:t>
      </w:r>
      <w:r>
        <w:rPr>
          <w:i/>
          <w:w w:val="105"/>
        </w:rPr>
        <w:t>v.</w:t>
      </w:r>
      <w:r>
        <w:rPr>
          <w:i/>
          <w:spacing w:val="-16"/>
          <w:w w:val="105"/>
        </w:rPr>
        <w:t xml:space="preserve"> </w:t>
      </w:r>
      <w:r>
        <w:rPr>
          <w:i/>
          <w:w w:val="105"/>
        </w:rPr>
        <w:t>Maxwell,</w:t>
      </w:r>
      <w:r>
        <w:rPr>
          <w:i/>
          <w:spacing w:val="-12"/>
          <w:w w:val="105"/>
        </w:rPr>
        <w:t xml:space="preserve"> </w:t>
      </w:r>
      <w:r>
        <w:rPr>
          <w:w w:val="105"/>
          <w:sz w:val="23"/>
        </w:rPr>
        <w:t>384</w:t>
      </w:r>
      <w:r>
        <w:rPr>
          <w:spacing w:val="-10"/>
          <w:w w:val="105"/>
          <w:sz w:val="23"/>
        </w:rPr>
        <w:t xml:space="preserve"> </w:t>
      </w:r>
      <w:r>
        <w:rPr>
          <w:w w:val="105"/>
          <w:sz w:val="23"/>
        </w:rPr>
        <w:t>U.S.</w:t>
      </w:r>
      <w:r>
        <w:rPr>
          <w:spacing w:val="-12"/>
          <w:w w:val="105"/>
          <w:sz w:val="23"/>
        </w:rPr>
        <w:t xml:space="preserve"> </w:t>
      </w:r>
      <w:r>
        <w:rPr>
          <w:w w:val="105"/>
          <w:sz w:val="23"/>
        </w:rPr>
        <w:t>333 (1966).</w:t>
      </w:r>
    </w:p>
    <w:p w:rsidR="008B1C9A" w:rsidRDefault="008B1C9A" w:rsidP="008B1C9A">
      <w:pPr>
        <w:pStyle w:val="BodyText"/>
        <w:ind w:left="720" w:right="630"/>
        <w:rPr>
          <w:w w:val="105"/>
          <w:sz w:val="23"/>
        </w:rPr>
      </w:pPr>
    </w:p>
    <w:tbl>
      <w:tblPr>
        <w:tblpPr w:leftFromText="180" w:rightFromText="180" w:vertAnchor="page" w:horzAnchor="margin" w:tblpY="11669"/>
        <w:tblW w:w="9577" w:type="dxa"/>
        <w:tblLayout w:type="fixed"/>
        <w:tblLook w:val="0000" w:firstRow="0" w:lastRow="0" w:firstColumn="0" w:lastColumn="0" w:noHBand="0" w:noVBand="0"/>
      </w:tblPr>
      <w:tblGrid>
        <w:gridCol w:w="5189"/>
        <w:gridCol w:w="4388"/>
      </w:tblGrid>
      <w:tr w:rsidR="008B1C9A" w:rsidTr="008B1C9A">
        <w:trPr>
          <w:trHeight w:val="1625"/>
        </w:trPr>
        <w:tc>
          <w:tcPr>
            <w:tcW w:w="5189" w:type="dxa"/>
          </w:tcPr>
          <w:p w:rsidR="008B1C9A" w:rsidRDefault="008B1C9A" w:rsidP="008B1C9A">
            <w:pPr>
              <w:pStyle w:val="BodyText"/>
              <w:ind w:left="1440"/>
            </w:pPr>
          </w:p>
          <w:p w:rsidR="008B1C9A" w:rsidRDefault="008B1C9A" w:rsidP="008B1C9A">
            <w:pPr>
              <w:pStyle w:val="BodyText"/>
              <w:ind w:left="1440"/>
            </w:pPr>
          </w:p>
          <w:p w:rsidR="008B1C9A" w:rsidRDefault="008B1C9A" w:rsidP="008B1C9A">
            <w:pPr>
              <w:pStyle w:val="BodyText"/>
              <w:ind w:left="1440"/>
              <w:rPr>
                <w:u w:val="single"/>
              </w:rPr>
            </w:pPr>
          </w:p>
          <w:p w:rsidR="008B1C9A" w:rsidRDefault="008B1C9A" w:rsidP="008B1C9A">
            <w:pPr>
              <w:pStyle w:val="BodyText"/>
              <w:ind w:left="1440"/>
              <w:rPr>
                <w:u w:val="single"/>
              </w:rPr>
            </w:pPr>
          </w:p>
          <w:p w:rsidR="008B1C9A" w:rsidRPr="000E6FAC" w:rsidRDefault="008B1C9A" w:rsidP="008B1C9A">
            <w:pPr>
              <w:pStyle w:val="BodyText"/>
              <w:ind w:left="1440"/>
              <w:rPr>
                <w:u w:val="single"/>
              </w:rPr>
            </w:pPr>
            <w:r w:rsidRPr="000E6FAC">
              <w:rPr>
                <w:u w:val="single"/>
              </w:rPr>
              <w:t>_/s/ John Moran</w:t>
            </w:r>
            <w:r>
              <w:rPr>
                <w:u w:val="single"/>
              </w:rPr>
              <w:t>__________</w:t>
            </w:r>
          </w:p>
          <w:p w:rsidR="008B1C9A" w:rsidRDefault="008B1C9A" w:rsidP="008B1C9A">
            <w:pPr>
              <w:pStyle w:val="BodyText"/>
              <w:ind w:left="1440"/>
            </w:pPr>
            <w:r>
              <w:t>John Moran #36019</w:t>
            </w:r>
          </w:p>
          <w:p w:rsidR="008B1C9A" w:rsidRDefault="008B1C9A" w:rsidP="008B1C9A">
            <w:pPr>
              <w:pStyle w:val="BodyText"/>
              <w:ind w:left="1440"/>
            </w:pPr>
            <w:r>
              <w:t>Deputy State Public Defender</w:t>
            </w:r>
          </w:p>
          <w:p w:rsidR="008B1C9A" w:rsidRDefault="008B1C9A" w:rsidP="008B1C9A">
            <w:pPr>
              <w:pStyle w:val="BodyText"/>
              <w:ind w:left="1440"/>
            </w:pPr>
            <w:r>
              <w:t xml:space="preserve">Dated: </w:t>
            </w:r>
            <w:r>
              <w:fldChar w:fldCharType="begin"/>
            </w:r>
            <w:r>
              <w:instrText xml:space="preserve"> TIME \@ "MMMM d, yyyy" </w:instrText>
            </w:r>
            <w:r>
              <w:fldChar w:fldCharType="separate"/>
            </w:r>
            <w:r w:rsidR="004E7B6D">
              <w:rPr>
                <w:noProof/>
              </w:rPr>
              <w:t>August 15</w:t>
            </w:r>
            <w:r w:rsidR="004E7B6D">
              <w:rPr>
                <w:noProof/>
              </w:rPr>
              <w:t>, 2017</w:t>
            </w:r>
            <w:r>
              <w:fldChar w:fldCharType="end"/>
            </w:r>
          </w:p>
        </w:tc>
        <w:tc>
          <w:tcPr>
            <w:tcW w:w="4388" w:type="dxa"/>
          </w:tcPr>
          <w:p w:rsidR="008B1C9A" w:rsidRDefault="008B1C9A" w:rsidP="008B1C9A">
            <w:pPr>
              <w:pStyle w:val="BodyText"/>
              <w:rPr>
                <w:b/>
                <w:sz w:val="20"/>
                <w:u w:val="single"/>
              </w:rPr>
            </w:pPr>
            <w:bookmarkStart w:id="0" w:name="_GoBack"/>
          </w:p>
          <w:bookmarkEnd w:id="0"/>
          <w:p w:rsidR="008B1C9A" w:rsidRDefault="008B1C9A" w:rsidP="008B1C9A">
            <w:pPr>
              <w:pStyle w:val="BodyText"/>
              <w:ind w:left="1440"/>
              <w:rPr>
                <w:b/>
                <w:sz w:val="20"/>
                <w:u w:val="single"/>
              </w:rPr>
            </w:pPr>
          </w:p>
          <w:p w:rsidR="008B1C9A" w:rsidRDefault="008B1C9A" w:rsidP="008B1C9A">
            <w:pPr>
              <w:pStyle w:val="BodyText"/>
              <w:ind w:left="1440"/>
              <w:rPr>
                <w:b/>
                <w:sz w:val="20"/>
                <w:u w:val="single"/>
              </w:rPr>
            </w:pPr>
          </w:p>
          <w:p w:rsidR="008B1C9A" w:rsidRDefault="008B1C9A" w:rsidP="008B1C9A">
            <w:pPr>
              <w:pStyle w:val="BodyText"/>
              <w:rPr>
                <w:b/>
                <w:sz w:val="20"/>
                <w:u w:val="single"/>
              </w:rPr>
            </w:pPr>
          </w:p>
          <w:p w:rsidR="008B1C9A" w:rsidRDefault="008B1C9A" w:rsidP="008B1C9A">
            <w:pPr>
              <w:pStyle w:val="BodyText"/>
              <w:ind w:left="1440"/>
              <w:rPr>
                <w:b/>
                <w:sz w:val="20"/>
                <w:u w:val="single"/>
              </w:rPr>
            </w:pPr>
          </w:p>
          <w:p w:rsidR="008B1C9A" w:rsidRDefault="008B1C9A" w:rsidP="008B1C9A">
            <w:pPr>
              <w:pStyle w:val="BodyText"/>
              <w:ind w:left="1440"/>
              <w:rPr>
                <w:sz w:val="20"/>
                <w:u w:val="single"/>
              </w:rPr>
            </w:pPr>
            <w:r>
              <w:rPr>
                <w:b/>
                <w:sz w:val="20"/>
                <w:u w:val="single"/>
              </w:rPr>
              <w:t>Certificate of Service</w:t>
            </w:r>
          </w:p>
          <w:p w:rsidR="008B1C9A" w:rsidRDefault="008B1C9A" w:rsidP="008B1C9A">
            <w:pPr>
              <w:pStyle w:val="BodyText"/>
              <w:ind w:left="1440"/>
              <w:rPr>
                <w:sz w:val="20"/>
              </w:rPr>
            </w:pPr>
            <w:r>
              <w:rPr>
                <w:sz w:val="20"/>
              </w:rPr>
              <w:t>I hereby certify that I served the foregoing document by e-filing with ICCES same to all opposing counsel of record.</w:t>
            </w:r>
          </w:p>
          <w:p w:rsidR="008B1C9A" w:rsidRPr="00032C52" w:rsidRDefault="008B1C9A" w:rsidP="008B1C9A">
            <w:pPr>
              <w:pStyle w:val="BodyText"/>
              <w:ind w:left="1440"/>
              <w:rPr>
                <w:b/>
                <w:sz w:val="20"/>
                <w:u w:val="single"/>
              </w:rPr>
            </w:pPr>
            <w:r>
              <w:rPr>
                <w:b/>
                <w:sz w:val="20"/>
                <w:u w:val="single"/>
              </w:rPr>
              <w:t>___/s/ John Moran</w:t>
            </w:r>
            <w:r w:rsidRPr="00032C52">
              <w:rPr>
                <w:b/>
                <w:sz w:val="20"/>
                <w:u w:val="single"/>
              </w:rPr>
              <w:t>___</w:t>
            </w:r>
          </w:p>
          <w:p w:rsidR="008B1C9A" w:rsidRDefault="008B1C9A" w:rsidP="008B1C9A">
            <w:pPr>
              <w:pStyle w:val="BodyText"/>
              <w:ind w:left="1440"/>
              <w:rPr>
                <w:sz w:val="20"/>
              </w:rPr>
            </w:pPr>
          </w:p>
          <w:p w:rsidR="008B1C9A" w:rsidRDefault="008B1C9A" w:rsidP="008B1C9A">
            <w:pPr>
              <w:pStyle w:val="BodyText"/>
              <w:ind w:left="1440"/>
              <w:rPr>
                <w:sz w:val="20"/>
              </w:rPr>
            </w:pPr>
          </w:p>
        </w:tc>
      </w:tr>
    </w:tbl>
    <w:p w:rsidR="00514252" w:rsidRPr="008B1C9A" w:rsidRDefault="008B1C9A" w:rsidP="008B1C9A">
      <w:pPr>
        <w:pStyle w:val="BodyText"/>
        <w:ind w:left="720" w:right="630"/>
        <w:rPr>
          <w:sz w:val="23"/>
        </w:rPr>
      </w:pPr>
      <w:r>
        <w:rPr>
          <w:w w:val="105"/>
          <w:sz w:val="23"/>
        </w:rPr>
        <w:t xml:space="preserve">Mr. </w:t>
      </w:r>
      <w:proofErr w:type="spellStart"/>
      <w:r>
        <w:rPr>
          <w:w w:val="105"/>
          <w:sz w:val="23"/>
        </w:rPr>
        <w:t>Redwine</w:t>
      </w:r>
      <w:proofErr w:type="spellEnd"/>
      <w:r>
        <w:rPr>
          <w:w w:val="105"/>
          <w:sz w:val="23"/>
        </w:rPr>
        <w:t xml:space="preserve"> therefore respectfully objects to any request by any media outlet and/or</w:t>
      </w:r>
      <w:r>
        <w:rPr>
          <w:spacing w:val="-1"/>
          <w:w w:val="105"/>
          <w:sz w:val="23"/>
        </w:rPr>
        <w:t xml:space="preserve"> </w:t>
      </w:r>
      <w:r>
        <w:rPr>
          <w:w w:val="105"/>
          <w:sz w:val="23"/>
        </w:rPr>
        <w:t>their</w:t>
      </w:r>
      <w:r>
        <w:rPr>
          <w:spacing w:val="3"/>
          <w:w w:val="105"/>
          <w:sz w:val="23"/>
        </w:rPr>
        <w:t xml:space="preserve"> </w:t>
      </w:r>
      <w:r>
        <w:rPr>
          <w:w w:val="105"/>
          <w:sz w:val="23"/>
        </w:rPr>
        <w:t>agents</w:t>
      </w:r>
      <w:r>
        <w:rPr>
          <w:spacing w:val="-8"/>
          <w:w w:val="105"/>
          <w:sz w:val="23"/>
        </w:rPr>
        <w:t xml:space="preserve"> </w:t>
      </w:r>
      <w:r>
        <w:rPr>
          <w:w w:val="105"/>
          <w:sz w:val="23"/>
        </w:rPr>
        <w:t>for</w:t>
      </w:r>
      <w:r>
        <w:rPr>
          <w:spacing w:val="-1"/>
          <w:w w:val="105"/>
          <w:sz w:val="23"/>
        </w:rPr>
        <w:t xml:space="preserve"> </w:t>
      </w:r>
      <w:r>
        <w:rPr>
          <w:w w:val="105"/>
          <w:sz w:val="23"/>
        </w:rPr>
        <w:t>expanded</w:t>
      </w:r>
      <w:r>
        <w:rPr>
          <w:spacing w:val="5"/>
          <w:w w:val="105"/>
          <w:sz w:val="23"/>
        </w:rPr>
        <w:t xml:space="preserve"> </w:t>
      </w:r>
      <w:r>
        <w:rPr>
          <w:w w:val="105"/>
          <w:sz w:val="23"/>
        </w:rPr>
        <w:t>media</w:t>
      </w:r>
      <w:r>
        <w:rPr>
          <w:spacing w:val="-1"/>
          <w:w w:val="105"/>
          <w:sz w:val="23"/>
        </w:rPr>
        <w:t xml:space="preserve"> </w:t>
      </w:r>
      <w:r>
        <w:rPr>
          <w:w w:val="105"/>
          <w:sz w:val="23"/>
        </w:rPr>
        <w:t>coverage</w:t>
      </w:r>
      <w:r>
        <w:rPr>
          <w:spacing w:val="1"/>
          <w:w w:val="105"/>
          <w:sz w:val="23"/>
        </w:rPr>
        <w:t xml:space="preserve"> </w:t>
      </w:r>
      <w:r>
        <w:rPr>
          <w:w w:val="105"/>
          <w:sz w:val="23"/>
        </w:rPr>
        <w:t>for</w:t>
      </w:r>
      <w:r>
        <w:rPr>
          <w:spacing w:val="-11"/>
          <w:w w:val="105"/>
          <w:sz w:val="23"/>
        </w:rPr>
        <w:t xml:space="preserve"> </w:t>
      </w:r>
      <w:r>
        <w:rPr>
          <w:w w:val="105"/>
          <w:sz w:val="23"/>
        </w:rPr>
        <w:t>the</w:t>
      </w:r>
      <w:r>
        <w:rPr>
          <w:spacing w:val="-2"/>
          <w:w w:val="105"/>
          <w:sz w:val="23"/>
        </w:rPr>
        <w:t xml:space="preserve"> </w:t>
      </w:r>
      <w:r>
        <w:rPr>
          <w:w w:val="105"/>
          <w:sz w:val="23"/>
        </w:rPr>
        <w:t>advisement</w:t>
      </w:r>
      <w:r>
        <w:rPr>
          <w:spacing w:val="3"/>
          <w:w w:val="105"/>
          <w:sz w:val="23"/>
        </w:rPr>
        <w:t xml:space="preserve"> </w:t>
      </w:r>
      <w:r>
        <w:rPr>
          <w:w w:val="105"/>
          <w:sz w:val="23"/>
        </w:rPr>
        <w:t>in</w:t>
      </w:r>
      <w:r>
        <w:rPr>
          <w:spacing w:val="-11"/>
          <w:w w:val="105"/>
          <w:sz w:val="23"/>
        </w:rPr>
        <w:t xml:space="preserve"> </w:t>
      </w:r>
      <w:r>
        <w:rPr>
          <w:w w:val="105"/>
          <w:sz w:val="23"/>
        </w:rPr>
        <w:t>this</w:t>
      </w:r>
      <w:r>
        <w:rPr>
          <w:spacing w:val="-10"/>
          <w:w w:val="105"/>
          <w:sz w:val="23"/>
        </w:rPr>
        <w:t xml:space="preserve"> </w:t>
      </w:r>
      <w:r>
        <w:rPr>
          <w:w w:val="105"/>
          <w:sz w:val="23"/>
        </w:rPr>
        <w:t xml:space="preserve">matter and further objects to expanded media coverage at all future proceedings in this case. Mr. </w:t>
      </w:r>
      <w:proofErr w:type="spellStart"/>
      <w:r>
        <w:rPr>
          <w:w w:val="105"/>
          <w:sz w:val="23"/>
        </w:rPr>
        <w:t>Redwine</w:t>
      </w:r>
      <w:proofErr w:type="spellEnd"/>
      <w:r>
        <w:rPr>
          <w:w w:val="105"/>
          <w:sz w:val="23"/>
        </w:rPr>
        <w:t xml:space="preserve"> further requests a hearing before any such request is granted. Mr. </w:t>
      </w:r>
      <w:proofErr w:type="spellStart"/>
      <w:r>
        <w:rPr>
          <w:w w:val="105"/>
          <w:sz w:val="23"/>
        </w:rPr>
        <w:t>Redwine</w:t>
      </w:r>
      <w:proofErr w:type="spellEnd"/>
      <w:r>
        <w:rPr>
          <w:w w:val="105"/>
          <w:sz w:val="23"/>
        </w:rPr>
        <w:t xml:space="preserve"> further requests a court order requiring 30 days' notice in advance of any hearing for which such future</w:t>
      </w:r>
      <w:r>
        <w:rPr>
          <w:spacing w:val="-19"/>
          <w:w w:val="105"/>
          <w:sz w:val="23"/>
        </w:rPr>
        <w:t xml:space="preserve"> </w:t>
      </w:r>
      <w:r>
        <w:rPr>
          <w:w w:val="105"/>
          <w:sz w:val="23"/>
        </w:rPr>
        <w:t>requests</w:t>
      </w:r>
      <w:r>
        <w:rPr>
          <w:spacing w:val="-11"/>
          <w:w w:val="105"/>
          <w:sz w:val="23"/>
        </w:rPr>
        <w:t xml:space="preserve"> </w:t>
      </w:r>
      <w:r>
        <w:rPr>
          <w:w w:val="105"/>
          <w:sz w:val="23"/>
        </w:rPr>
        <w:t>are</w:t>
      </w:r>
      <w:r>
        <w:rPr>
          <w:spacing w:val="-18"/>
          <w:w w:val="105"/>
          <w:sz w:val="23"/>
        </w:rPr>
        <w:t xml:space="preserve"> </w:t>
      </w:r>
      <w:r>
        <w:rPr>
          <w:w w:val="105"/>
          <w:sz w:val="23"/>
        </w:rPr>
        <w:t>made.</w:t>
      </w:r>
    </w:p>
    <w:sectPr w:rsidR="00514252" w:rsidRPr="008B1C9A" w:rsidSect="008B1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6F7B"/>
    <w:multiLevelType w:val="hybridMultilevel"/>
    <w:tmpl w:val="6E6C95B2"/>
    <w:lvl w:ilvl="0" w:tplc="72022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AB100D"/>
    <w:multiLevelType w:val="hybridMultilevel"/>
    <w:tmpl w:val="B324FBF0"/>
    <w:lvl w:ilvl="0" w:tplc="93ACCDB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37A7C41"/>
    <w:multiLevelType w:val="hybridMultilevel"/>
    <w:tmpl w:val="9F9A6E46"/>
    <w:lvl w:ilvl="0" w:tplc="CBD2D366">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9A"/>
    <w:rsid w:val="004E7B6D"/>
    <w:rsid w:val="00514252"/>
    <w:rsid w:val="0081185D"/>
    <w:rsid w:val="008B1C9A"/>
    <w:rsid w:val="00A7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1C9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8B1C9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1C9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8B1C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D697-B4B1-4DB6-AF47-C7777734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mccoy, kandi</cp:lastModifiedBy>
  <cp:revision>2</cp:revision>
  <dcterms:created xsi:type="dcterms:W3CDTF">2017-08-18T17:52:00Z</dcterms:created>
  <dcterms:modified xsi:type="dcterms:W3CDTF">2017-08-18T17:52:00Z</dcterms:modified>
</cp:coreProperties>
</file>