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850C" w14:textId="27318750" w:rsidR="00CA41CC" w:rsidRPr="00914128" w:rsidRDefault="0068336D" w:rsidP="00914128">
      <w:pPr>
        <w:pStyle w:val="Heading1"/>
      </w:pPr>
      <w:bookmarkStart w:id="0" w:name="_GoBack"/>
      <w:bookmarkEnd w:id="0"/>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F02EE0"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F02EE0"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 xml:space="preserve">nd Outrageous </w:t>
      </w:r>
      <w:proofErr w:type="gramStart"/>
      <w:r w:rsidR="00CB5C67" w:rsidRPr="00CB5C67">
        <w:t>Conduct</w:t>
      </w:r>
      <w:proofErr w:type="gramEnd"/>
      <w:r w:rsidR="00CB5C67" w:rsidRPr="00CB5C67">
        <w:t xml:space="preserve"> — Defined</w:t>
      </w:r>
    </w:p>
    <w:p w14:paraId="45B6424A" w14:textId="77777777" w:rsidR="00CB5C67" w:rsidRDefault="00F02EE0"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F02EE0" w:rsidP="00914128">
      <w:pPr>
        <w:pStyle w:val="ToC"/>
      </w:pPr>
      <w:hyperlink w:anchor="a23_04" w:history="1">
        <w:r w:rsidR="00CB5C67" w:rsidRPr="00CB5C67">
          <w:rPr>
            <w:rStyle w:val="Hyperlink"/>
          </w:rPr>
          <w:t>23:4</w:t>
        </w:r>
      </w:hyperlink>
      <w:r w:rsidR="00CB5C67" w:rsidRPr="00CB5C67">
        <w:t xml:space="preserve"> </w:t>
      </w:r>
      <w:r w:rsidR="00CB5C67" w:rsidRPr="00CB5C67">
        <w:tab/>
        <w:t xml:space="preserve">Severe Emotional </w:t>
      </w:r>
      <w:proofErr w:type="gramStart"/>
      <w:r w:rsidR="00CB5C67" w:rsidRPr="00CB5C67">
        <w:t>Distress</w:t>
      </w:r>
      <w:proofErr w:type="gramEnd"/>
      <w:r w:rsidR="00CB5C67" w:rsidRPr="00CB5C67">
        <w:t xml:space="preserve"> — Defined</w:t>
      </w:r>
    </w:p>
    <w:p w14:paraId="06912C70" w14:textId="77777777" w:rsidR="00CB5C67" w:rsidRDefault="00F02EE0"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F02EE0"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1" w:name="a23_01"/>
      <w:bookmarkEnd w:id="1"/>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xml:space="preserve">, on (his) (her) </w:t>
      </w:r>
      <w:proofErr w:type="gramStart"/>
      <w:r w:rsidRPr="008B7480">
        <w:rPr>
          <w:rFonts w:eastAsia="Times New Roman"/>
          <w:b/>
          <w:sz w:val="24"/>
          <w:szCs w:val="24"/>
        </w:rPr>
        <w:t>claim of extreme and outrageous conduct</w:t>
      </w:r>
      <w:proofErr w:type="gramEnd"/>
      <w:r w:rsidRPr="008B7480">
        <w:rPr>
          <w:rFonts w:eastAsia="Times New Roman"/>
          <w:b/>
          <w:sz w:val="24"/>
          <w:szCs w:val="24"/>
        </w:rPr>
        <w:t>, you must find all of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r w:rsidRPr="008B7480">
        <w:rPr>
          <w:rFonts w:eastAsia="Times New Roman"/>
          <w:b/>
          <w:sz w:val="24"/>
          <w:szCs w:val="24"/>
        </w:rPr>
        <w:t>Reigel v. SavaSeniorCare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 v. Kancilia</w:t>
      </w:r>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r w:rsidRPr="008B7480">
        <w:rPr>
          <w:rFonts w:eastAsia="Times New Roman"/>
          <w:b/>
          <w:sz w:val="24"/>
          <w:szCs w:val="24"/>
        </w:rPr>
        <w:t>Tracz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Mortg.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Corcoran v. Sanner</w:t>
      </w:r>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r w:rsidRPr="008B7480">
        <w:rPr>
          <w:rFonts w:eastAsia="Times New Roman"/>
          <w:b/>
          <w:sz w:val="24"/>
          <w:szCs w:val="24"/>
        </w:rPr>
        <w:t>Reigel</w:t>
      </w:r>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r w:rsidRPr="008B7480">
        <w:rPr>
          <w:rFonts w:eastAsia="Times New Roman"/>
          <w:b/>
          <w:sz w:val="24"/>
          <w:szCs w:val="24"/>
        </w:rPr>
        <w:t>Tracz</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witt v. Pitkin Cty. Bank &amp; Tr. Co.</w:t>
      </w:r>
      <w:r w:rsidRPr="008B7480">
        <w:rPr>
          <w:rFonts w:eastAsia="Times New Roman"/>
          <w:sz w:val="24"/>
          <w:szCs w:val="24"/>
        </w:rPr>
        <w:t xml:space="preserve">, 931 P.2d 456 (Colo. App. 1995); </w:t>
      </w:r>
      <w:r w:rsidRPr="008B7480">
        <w:rPr>
          <w:rFonts w:eastAsia="Times New Roman"/>
          <w:b/>
          <w:sz w:val="24"/>
          <w:szCs w:val="24"/>
        </w:rPr>
        <w:t>Hutton v. Mem’l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“[P]ublic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Vrain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Hoffsetz v. Jefferson Cty.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r w:rsidRPr="008B7480">
        <w:rPr>
          <w:rFonts w:eastAsia="Times New Roman"/>
          <w:b/>
          <w:sz w:val="24"/>
          <w:szCs w:val="24"/>
        </w:rPr>
        <w:t>Vikman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 Act, 29 U.S.C.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r w:rsidRPr="008B7480">
        <w:rPr>
          <w:rFonts w:eastAsia="Times New Roman"/>
          <w:b/>
          <w:sz w:val="24"/>
          <w:szCs w:val="24"/>
        </w:rPr>
        <w:t>Bigby v. Big 3 Supply Co.</w:t>
      </w:r>
      <w:r w:rsidRPr="008B7480">
        <w:rPr>
          <w:rFonts w:eastAsia="Times New Roman"/>
          <w:sz w:val="24"/>
          <w:szCs w:val="24"/>
        </w:rPr>
        <w:t>, 937 P.2d 794 (Colo. App. 1996).</w:t>
      </w:r>
    </w:p>
    <w:p w14:paraId="6F00C79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r w:rsidRPr="008B7480">
        <w:rPr>
          <w:rFonts w:eastAsia="Times New Roman"/>
          <w:b/>
          <w:sz w:val="24"/>
          <w:szCs w:val="24"/>
        </w:rPr>
        <w:t>Seefried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r w:rsidRPr="008B7480">
        <w:rPr>
          <w:rFonts w:eastAsia="Times New Roman"/>
          <w:sz w:val="24"/>
          <w:szCs w:val="24"/>
        </w:rPr>
        <w:t>320 P.3d 387.</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2" w:name="a23_02"/>
      <w:bookmarkEnd w:id="2"/>
      <w:r w:rsidRPr="009A273C">
        <w:rPr>
          <w:rFonts w:eastAsia="Times New Roman"/>
          <w:b/>
          <w:sz w:val="24"/>
          <w:szCs w:val="24"/>
        </w:rPr>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 v. Grabrian</w:t>
      </w:r>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Reigel v. SavaSeniorCare,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Tracz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r w:rsidRPr="009A273C">
        <w:rPr>
          <w:rFonts w:eastAsia="Times New Roman"/>
          <w:b/>
          <w:sz w:val="24"/>
          <w:szCs w:val="24"/>
        </w:rPr>
        <w:t>Bohrer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r w:rsidRPr="009A273C">
        <w:rPr>
          <w:rFonts w:eastAsia="Times New Roman"/>
          <w:b/>
          <w:sz w:val="24"/>
          <w:szCs w:val="24"/>
        </w:rPr>
        <w:t>Zick v. Krob</w:t>
      </w:r>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r w:rsidRPr="009A273C">
        <w:rPr>
          <w:rFonts w:eastAsia="Times New Roman"/>
          <w:b/>
          <w:sz w:val="24"/>
          <w:szCs w:val="24"/>
        </w:rPr>
        <w:t>Lindemuth v. Jefferson Cty.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Montoya v.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Cavanaugh</w:t>
      </w:r>
      <w:r w:rsidRPr="009A273C">
        <w:rPr>
          <w:rFonts w:eastAsia="Times New Roman"/>
          <w:sz w:val="24"/>
          <w:szCs w:val="24"/>
        </w:rPr>
        <w:t xml:space="preserve">, 40 Colo. App. 454, 580 P.2d 399;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Ass’n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cmt.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r w:rsidRPr="009A273C">
        <w:rPr>
          <w:rFonts w:eastAsia="Times New Roman"/>
          <w:b/>
          <w:sz w:val="24"/>
          <w:szCs w:val="24"/>
        </w:rPr>
        <w:t>Gorab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 v. Kancilia</w:t>
      </w:r>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14:paraId="09D2421B" w14:textId="053220A9"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single incident will give rise to outrage</w:t>
      </w:r>
      <w:r w:rsidR="00453922">
        <w:rPr>
          <w:rFonts w:eastAsia="Times New Roman"/>
          <w:sz w:val="24"/>
          <w:szCs w:val="24"/>
        </w:rPr>
        <w:t xml:space="preserve">ous conduct if that incident </w:t>
      </w:r>
      <w:r w:rsidRPr="009A273C">
        <w:rPr>
          <w:rFonts w:eastAsia="Times New Roman"/>
          <w:sz w:val="24"/>
          <w:szCs w:val="24"/>
        </w:rPr>
        <w:t xml:space="preserve">involves conduct that meets the definition of outrage as expressed in this instruction. </w:t>
      </w:r>
      <w:r w:rsidRPr="009A273C">
        <w:rPr>
          <w:rFonts w:eastAsia="Times New Roman"/>
          <w:i/>
          <w:sz w:val="24"/>
          <w:szCs w:val="24"/>
        </w:rPr>
        <w:t>See</w:t>
      </w:r>
      <w:r w:rsidRPr="009A273C">
        <w:rPr>
          <w:rFonts w:eastAsia="Times New Roman"/>
          <w:sz w:val="24"/>
          <w:szCs w:val="24"/>
        </w:rPr>
        <w:t xml:space="preserve">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r w:rsidRPr="009A273C">
        <w:rPr>
          <w:rFonts w:eastAsia="Times New Roman"/>
          <w:b/>
          <w:sz w:val="24"/>
          <w:szCs w:val="24"/>
        </w:rPr>
        <w:t>Zalnis</w:t>
      </w:r>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3" w:name="a23_03"/>
      <w:bookmarkEnd w:id="3"/>
      <w:r w:rsidRPr="009A273C">
        <w:rPr>
          <w:rFonts w:eastAsia="Times New Roman"/>
          <w:b/>
          <w:sz w:val="24"/>
          <w:szCs w:val="24"/>
        </w:rPr>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4" w:name="a23_04"/>
      <w:bookmarkEnd w:id="4"/>
      <w:r w:rsidRPr="007C4B23">
        <w:rPr>
          <w:rFonts w:eastAsia="Times New Roman"/>
          <w:b/>
          <w:sz w:val="24"/>
          <w:szCs w:val="24"/>
        </w:rPr>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cmt.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j (1965) is part of Colorado’s common law); </w:t>
      </w:r>
      <w:r w:rsidRPr="007C4B23">
        <w:rPr>
          <w:rFonts w:eastAsia="Times New Roman"/>
          <w:b/>
          <w:sz w:val="24"/>
          <w:szCs w:val="24"/>
        </w:rPr>
        <w:t>DeCicco v. Trinidad Area Health Ass’n</w:t>
      </w:r>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r w:rsidRPr="007C4B23">
        <w:rPr>
          <w:rFonts w:eastAsia="Times New Roman"/>
          <w:b/>
          <w:sz w:val="24"/>
          <w:szCs w:val="24"/>
        </w:rPr>
        <w:t>Zalnis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63F5EA3C" w:rsidR="009C03DD" w:rsidRDefault="007C4B23" w:rsidP="00EC29A6">
      <w:pPr>
        <w:spacing w:after="240"/>
        <w:ind w:firstLine="720"/>
        <w:rPr>
          <w:rFonts w:eastAsia="Times New Roman"/>
          <w:sz w:val="24"/>
          <w:szCs w:val="24"/>
        </w:rPr>
      </w:pPr>
      <w:r w:rsidRPr="007C4B23">
        <w:rPr>
          <w:rFonts w:eastAsia="Times New Roman"/>
          <w:sz w:val="24"/>
          <w:szCs w:val="24"/>
        </w:rPr>
        <w:t>3. Severe emotional distress does not require an</w:t>
      </w:r>
      <w:r w:rsidR="00453922">
        <w:rPr>
          <w:rFonts w:eastAsia="Times New Roman"/>
          <w:sz w:val="24"/>
          <w:szCs w:val="24"/>
        </w:rPr>
        <w:t xml:space="preserve">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5" w:name="a23_05"/>
      <w:bookmarkEnd w:id="5"/>
      <w:r w:rsidRPr="007C4B23">
        <w:rPr>
          <w:rFonts w:eastAsia="Times New Roman"/>
          <w:b/>
          <w:sz w:val="24"/>
          <w:szCs w:val="24"/>
        </w:rPr>
        <w:t xml:space="preserve">23:5 </w:t>
      </w:r>
      <w:r w:rsidRPr="007C4B23">
        <w:rPr>
          <w:rFonts w:eastAsia="Times New Roman"/>
          <w:b/>
          <w:sz w:val="24"/>
          <w:szCs w:val="24"/>
        </w:rPr>
        <w:tab/>
        <w:t>EXERCISING LEGAL RIGHTS IN PERMISSIBLE MANNER</w:t>
      </w:r>
    </w:p>
    <w:p w14:paraId="49EE5D6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6" w:name="a23_06"/>
      <w:bookmarkEnd w:id="6"/>
      <w:r w:rsidRPr="007C4B23">
        <w:rPr>
          <w:rFonts w:eastAsia="Times New Roman"/>
          <w:b/>
          <w:sz w:val="24"/>
          <w:szCs w:val="24"/>
        </w:rPr>
        <w:t xml:space="preserve">23:6 </w:t>
      </w:r>
      <w:r w:rsidRPr="007C4B23">
        <w:rPr>
          <w:rFonts w:eastAsia="Times New Roman"/>
          <w:b/>
          <w:sz w:val="24"/>
          <w:szCs w:val="24"/>
        </w:rPr>
        <w:tab/>
        <w:t>ACTUAL DAMAGES</w:t>
      </w:r>
    </w:p>
    <w:p w14:paraId="1024D584"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14:paraId="16174ACC"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r w:rsidRPr="007C4B23">
        <w:rPr>
          <w:rFonts w:eastAsia="Times New Roman"/>
          <w:b/>
          <w:sz w:val="24"/>
          <w:szCs w:val="24"/>
        </w:rPr>
        <w:t>Meiter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sentimental and emotional value of property may be considered in awarding damages in claims for the intentional or reckless infliction of emotional distress, such as a claim for outrageous conduct. </w:t>
      </w:r>
      <w:r w:rsidRPr="007C4B23">
        <w:rPr>
          <w:rFonts w:eastAsia="Times New Roman"/>
          <w:b/>
          <w:sz w:val="24"/>
          <w:szCs w:val="24"/>
        </w:rPr>
        <w:t>Chryar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C6AF" w14:textId="77777777" w:rsidR="00F02EE0" w:rsidRDefault="00F02EE0" w:rsidP="0054263B">
      <w:r>
        <w:separator/>
      </w:r>
    </w:p>
    <w:p w14:paraId="33AEC818" w14:textId="77777777" w:rsidR="00F02EE0" w:rsidRDefault="00F02EE0"/>
  </w:endnote>
  <w:endnote w:type="continuationSeparator" w:id="0">
    <w:p w14:paraId="35F3883F" w14:textId="77777777" w:rsidR="00F02EE0" w:rsidRDefault="00F02EE0" w:rsidP="0054263B">
      <w:r>
        <w:continuationSeparator/>
      </w:r>
    </w:p>
    <w:p w14:paraId="5ABEA3BD" w14:textId="77777777" w:rsidR="00F02EE0" w:rsidRDefault="00F0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942B73">
          <w:rPr>
            <w:noProof/>
          </w:rPr>
          <w:t>2</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75F3" w14:textId="77777777" w:rsidR="00F02EE0" w:rsidRDefault="00F02EE0" w:rsidP="0054263B">
      <w:r>
        <w:separator/>
      </w:r>
    </w:p>
    <w:p w14:paraId="59D4F3A5" w14:textId="77777777" w:rsidR="00F02EE0" w:rsidRDefault="00F02EE0"/>
  </w:footnote>
  <w:footnote w:type="continuationSeparator" w:id="0">
    <w:p w14:paraId="1B9B5588" w14:textId="77777777" w:rsidR="00F02EE0" w:rsidRDefault="00F02EE0" w:rsidP="0054263B">
      <w:r>
        <w:continuationSeparator/>
      </w:r>
    </w:p>
    <w:p w14:paraId="312D131B" w14:textId="77777777" w:rsidR="00F02EE0" w:rsidRDefault="00F02E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67F8"/>
    <w:rsid w:val="00037111"/>
    <w:rsid w:val="0006367C"/>
    <w:rsid w:val="000656E9"/>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55159"/>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16B2A"/>
    <w:rsid w:val="00434371"/>
    <w:rsid w:val="004425AA"/>
    <w:rsid w:val="00453922"/>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1B73"/>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C74C6"/>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0C60"/>
    <w:rsid w:val="007216DA"/>
    <w:rsid w:val="00724230"/>
    <w:rsid w:val="00726E21"/>
    <w:rsid w:val="007340B5"/>
    <w:rsid w:val="007532AB"/>
    <w:rsid w:val="00766F81"/>
    <w:rsid w:val="00770FFC"/>
    <w:rsid w:val="00771404"/>
    <w:rsid w:val="00787065"/>
    <w:rsid w:val="00792028"/>
    <w:rsid w:val="007A3A0E"/>
    <w:rsid w:val="007A612E"/>
    <w:rsid w:val="007B1633"/>
    <w:rsid w:val="007B6A36"/>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3A4E"/>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2B73"/>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23D8"/>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D55B8"/>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467C"/>
    <w:rsid w:val="00ED5E52"/>
    <w:rsid w:val="00ED7176"/>
    <w:rsid w:val="00ED75EA"/>
    <w:rsid w:val="00EF4043"/>
    <w:rsid w:val="00F022D4"/>
    <w:rsid w:val="00F02EE0"/>
    <w:rsid w:val="00F062A4"/>
    <w:rsid w:val="00F32AA4"/>
    <w:rsid w:val="00F573CF"/>
    <w:rsid w:val="00F57A2B"/>
    <w:rsid w:val="00F60050"/>
    <w:rsid w:val="00F658E5"/>
    <w:rsid w:val="00F764F4"/>
    <w:rsid w:val="00F822C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2022-01-12T17:00:00Z</dcterms:created>
  <dcterms:modified xsi:type="dcterms:W3CDTF">2022-01-12T17:00:00Z</dcterms:modified>
</cp:coreProperties>
</file>