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6F7B49">
        <w:t>34</w:t>
      </w:r>
    </w:p>
    <w:p w:rsidR="00EC7C98" w:rsidRPr="00914128" w:rsidRDefault="006F7B49" w:rsidP="00914128">
      <w:pPr>
        <w:pStyle w:val="Heading1"/>
      </w:pPr>
      <w:r w:rsidRPr="006F7B49">
        <w:t>WILLS</w:t>
      </w:r>
    </w:p>
    <w:p w:rsidR="00533E74" w:rsidRDefault="001325AD"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rsidR="001C5646" w:rsidRDefault="001325AD"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rsidR="001C5646" w:rsidRDefault="001325AD"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rsidR="001C5646" w:rsidRDefault="001325AD"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rsidR="001C5646" w:rsidRDefault="001325AD"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rsidR="001C5646" w:rsidRDefault="001325AD"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rsidR="001C5646" w:rsidRDefault="001325AD"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rsidR="001C5646" w:rsidRDefault="001325AD"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rsidR="001C5646" w:rsidRDefault="001325AD"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rsidR="001C5646" w:rsidRDefault="001325AD"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rsidR="001C5646" w:rsidRDefault="001325AD"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rsidR="006153FA" w:rsidRDefault="001325AD"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rsidR="006153FA" w:rsidRDefault="001325AD"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rsidR="006153FA" w:rsidRDefault="001325AD"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rsidR="006153FA" w:rsidRDefault="001325AD"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rsidR="00625453" w:rsidRDefault="001325AD"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rsidR="00625453" w:rsidRDefault="001325AD"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rsidR="00625453" w:rsidRDefault="001325AD"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rsidR="00625453" w:rsidRDefault="001325AD" w:rsidP="00914128">
      <w:pPr>
        <w:pStyle w:val="ToC"/>
      </w:pPr>
      <w:hyperlink w:anchor="a34_19" w:history="1">
        <w:r w:rsidR="000E72CD" w:rsidRPr="00625453">
          <w:rPr>
            <w:rStyle w:val="Hyperlink"/>
          </w:rPr>
          <w:t>34:19</w:t>
        </w:r>
      </w:hyperlink>
      <w:r w:rsidR="000E72CD" w:rsidRPr="00625453">
        <w:tab/>
        <w:t>Fiduciary Relationship — Defined</w:t>
      </w:r>
    </w:p>
    <w:p w:rsidR="00625453" w:rsidRDefault="001325AD"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rsidR="00625453" w:rsidRDefault="001325AD"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F7B49" w:rsidP="00CC0502">
      <w:pPr>
        <w:spacing w:after="240"/>
        <w:ind w:left="720" w:hanging="720"/>
        <w:rPr>
          <w:rFonts w:eastAsia="Times New Roman"/>
          <w:b/>
          <w:sz w:val="24"/>
          <w:szCs w:val="24"/>
        </w:rPr>
      </w:pPr>
      <w:bookmarkStart w:id="1" w:name="a34_01"/>
      <w:bookmarkEnd w:id="1"/>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00984936" w:rsidRPr="002F5B7D">
        <w:rPr>
          <w:rFonts w:eastAsia="Times New Roman"/>
          <w:i/>
          <w:sz w:val="24"/>
          <w:szCs w:val="24"/>
        </w:rPr>
        <w:t>Id.</w:t>
      </w:r>
      <w:r w:rsidR="00F23E0D" w:rsidRPr="00706A17">
        <w:rPr>
          <w:rFonts w:eastAsia="Times New Roman"/>
          <w:sz w:val="24"/>
          <w:szCs w:val="24"/>
        </w:rPr>
        <w:t xml:space="preserve"> </w:t>
      </w:r>
      <w:r w:rsidRPr="006F7B49">
        <w:rPr>
          <w:rFonts w:eastAsia="Times New Roman"/>
          <w:sz w:val="24"/>
          <w:szCs w:val="24"/>
        </w:rPr>
        <w:t xml:space="preserve">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w:t>
      </w:r>
      <w:r w:rsidR="00984936">
        <w:rPr>
          <w:rFonts w:eastAsia="Times New Roman"/>
          <w:sz w:val="24"/>
          <w:szCs w:val="24"/>
        </w:rPr>
        <w:t xml:space="preserve">Additionally, no-contest clauses in wills are to be strictly construed, and forfeiture is to be avoided if possible. </w:t>
      </w:r>
      <w:r w:rsidR="00984936" w:rsidRPr="00E50BFE">
        <w:rPr>
          <w:rFonts w:eastAsia="Times New Roman"/>
          <w:b/>
          <w:sz w:val="24"/>
          <w:szCs w:val="24"/>
        </w:rPr>
        <w:t>Sandstead-Corona v. Sandstead</w:t>
      </w:r>
      <w:r w:rsidR="00984936">
        <w:rPr>
          <w:rFonts w:eastAsia="Times New Roman"/>
          <w:sz w:val="24"/>
          <w:szCs w:val="24"/>
        </w:rPr>
        <w:t xml:space="preserve">, 2018 CO 26, ¶ 60, 415 P.3d 310. </w:t>
      </w:r>
      <w:r w:rsidRPr="006F7B49">
        <w:rPr>
          <w:rFonts w:eastAsia="Times New Roman"/>
          <w:sz w:val="24"/>
          <w:szCs w:val="24"/>
        </w:rPr>
        <w:t xml:space="preserve">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rsidR="006F7B49" w:rsidRDefault="006F7B49">
      <w:pPr>
        <w:rPr>
          <w:rFonts w:eastAsia="Times New Roman"/>
          <w:sz w:val="24"/>
          <w:szCs w:val="24"/>
        </w:rPr>
      </w:pPr>
      <w:r>
        <w:rPr>
          <w:rFonts w:eastAsia="Times New Roman"/>
          <w:sz w:val="24"/>
          <w:szCs w:val="24"/>
        </w:rPr>
        <w:br w:type="page"/>
      </w:r>
    </w:p>
    <w:p w:rsidR="006F7B49" w:rsidRPr="009E3DA4" w:rsidRDefault="006F7B49" w:rsidP="006F7B49">
      <w:pPr>
        <w:spacing w:after="240"/>
        <w:ind w:left="720" w:hanging="720"/>
        <w:rPr>
          <w:rFonts w:eastAsia="Times New Roman"/>
          <w:b/>
          <w:sz w:val="24"/>
          <w:szCs w:val="24"/>
        </w:rPr>
      </w:pPr>
      <w:bookmarkStart w:id="2" w:name="a34_02"/>
      <w:bookmarkEnd w:id="2"/>
      <w:r w:rsidRPr="006F7B49">
        <w:rPr>
          <w:rFonts w:eastAsia="Times New Roman"/>
          <w:b/>
          <w:sz w:val="24"/>
          <w:szCs w:val="24"/>
        </w:rPr>
        <w:lastRenderedPageBreak/>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rsidR="006F7B49" w:rsidRDefault="006F7B49" w:rsidP="006F7B49">
      <w:pPr>
        <w:jc w:val="center"/>
        <w:rPr>
          <w:rFonts w:eastAsia="Times New Roman"/>
          <w:sz w:val="24"/>
          <w:szCs w:val="24"/>
        </w:rPr>
      </w:pPr>
    </w:p>
    <w:p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lastRenderedPageBreak/>
        <w:t>2. Use either numbered paragraph 2 or numbered paragraph 3, as appropriate, with numbered paragraph 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3" w:name="_DV_X15"/>
      <w:bookmarkStart w:id="4" w:name="_DV_C16"/>
      <w:r w:rsidRPr="006F7B49">
        <w:rPr>
          <w:rFonts w:eastAsia="Times New Roman"/>
          <w:sz w:val="24"/>
          <w:szCs w:val="24"/>
        </w:rPr>
        <w:t>If the writing is one that would, at the most, constitute a holographic will, then Instruction 34:6 should be used rather than this instruction.</w:t>
      </w:r>
      <w:bookmarkEnd w:id="3"/>
      <w:bookmarkEnd w:id="4"/>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w:t>
      </w:r>
      <w:r w:rsidRPr="006F7B49">
        <w:rPr>
          <w:rFonts w:eastAsia="Times New Roman"/>
          <w:sz w:val="24"/>
          <w:szCs w:val="24"/>
        </w:rPr>
        <w:lastRenderedPageBreak/>
        <w:t xml:space="preserve">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 xml:space="preserve">(a) If the will is self-proved pursuant to section 15-11-504, the will satisfies the requirements for execution without the testimony of any attesting witness, upon filing the </w:t>
      </w:r>
      <w:r w:rsidRPr="006F7B49">
        <w:rPr>
          <w:rFonts w:eastAsia="Times New Roman"/>
          <w:sz w:val="24"/>
          <w:szCs w:val="24"/>
        </w:rPr>
        <w:lastRenderedPageBreak/>
        <w:t>will and the acknowledgement and affidavits annexed or attached to it, unless there is evidence of fraud or forgery affecting the acknowledgement or affidavit.</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5" w:name="a34_03"/>
      <w:bookmarkEnd w:id="5"/>
      <w:r w:rsidRPr="00F94E0B">
        <w:rPr>
          <w:rFonts w:eastAsia="Times New Roman"/>
          <w:b/>
          <w:sz w:val="24"/>
          <w:szCs w:val="24"/>
        </w:rPr>
        <w:lastRenderedPageBreak/>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6" w:name="a34_04"/>
      <w:bookmarkEnd w:id="6"/>
      <w:r w:rsidRPr="00F94E0B">
        <w:rPr>
          <w:rFonts w:eastAsia="Times New Roman"/>
          <w:b/>
          <w:sz w:val="24"/>
          <w:szCs w:val="24"/>
        </w:rPr>
        <w:lastRenderedPageBreak/>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7" w:name="a34_05"/>
      <w:bookmarkEnd w:id="7"/>
      <w:r w:rsidRPr="00F94E0B">
        <w:rPr>
          <w:rFonts w:eastAsia="Times New Roman"/>
          <w:b/>
          <w:sz w:val="24"/>
          <w:szCs w:val="24"/>
        </w:rPr>
        <w:lastRenderedPageBreak/>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lastRenderedPageBreak/>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rsidR="00081B09" w:rsidRDefault="00081B09">
      <w:pPr>
        <w:rPr>
          <w:rFonts w:eastAsia="Times New Roman"/>
          <w:sz w:val="24"/>
          <w:szCs w:val="24"/>
        </w:rPr>
      </w:pPr>
      <w:r>
        <w:rPr>
          <w:rFonts w:eastAsia="Times New Roman"/>
          <w:sz w:val="24"/>
          <w:szCs w:val="24"/>
        </w:rPr>
        <w:br w:type="page"/>
      </w:r>
    </w:p>
    <w:p w:rsidR="00081B09" w:rsidRPr="009E3DA4" w:rsidRDefault="00081B09" w:rsidP="00081B09">
      <w:pPr>
        <w:spacing w:after="240"/>
        <w:ind w:left="720" w:hanging="720"/>
        <w:rPr>
          <w:rFonts w:eastAsia="Times New Roman"/>
          <w:b/>
          <w:sz w:val="24"/>
          <w:szCs w:val="24"/>
        </w:rPr>
      </w:pPr>
      <w:bookmarkStart w:id="8" w:name="a34_06"/>
      <w:bookmarkEnd w:id="8"/>
      <w:r w:rsidRPr="00081B09">
        <w:rPr>
          <w:rFonts w:eastAsia="Times New Roman"/>
          <w:b/>
          <w:sz w:val="24"/>
          <w:szCs w:val="24"/>
        </w:rPr>
        <w:lastRenderedPageBreak/>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rsidR="00081B09" w:rsidRDefault="00081B09" w:rsidP="00081B09">
      <w:pPr>
        <w:jc w:val="center"/>
        <w:rPr>
          <w:rFonts w:eastAsia="Times New Roman"/>
          <w:sz w:val="24"/>
          <w:szCs w:val="24"/>
        </w:rPr>
      </w:pPr>
    </w:p>
    <w:p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w:t>
      </w:r>
      <w:r w:rsidRPr="00081B09">
        <w:rPr>
          <w:rFonts w:eastAsia="Times New Roman"/>
          <w:sz w:val="24"/>
          <w:szCs w:val="24"/>
        </w:rPr>
        <w:lastRenderedPageBreak/>
        <w:t xml:space="preserve">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11. When necessary and appropriate to the evidence in the case, Instruction 34:4 (witness having an interest under the will) should be given with this instruction as a cautionary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lastRenderedPageBreak/>
        <w:t>19. The “[i]ntent that [a] document constitute the testator’s will can be established by extrinsic evidence, including, for holographic wills, portions of the document that are not in the testator’s handwriting.” § 15-11-502(3).</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rsidR="00907A8A" w:rsidRDefault="00907A8A">
      <w:pPr>
        <w:rPr>
          <w:rFonts w:eastAsia="Times New Roman"/>
          <w:sz w:val="24"/>
          <w:szCs w:val="24"/>
        </w:rPr>
      </w:pPr>
      <w:r>
        <w:rPr>
          <w:rFonts w:eastAsia="Times New Roman"/>
          <w:sz w:val="24"/>
          <w:szCs w:val="24"/>
        </w:rPr>
        <w:br w:type="page"/>
      </w:r>
    </w:p>
    <w:p w:rsidR="00907A8A" w:rsidRPr="009E3DA4" w:rsidRDefault="00907A8A" w:rsidP="00907A8A">
      <w:pPr>
        <w:spacing w:after="240"/>
        <w:ind w:left="720" w:hanging="720"/>
        <w:rPr>
          <w:rFonts w:eastAsia="Times New Roman"/>
          <w:b/>
          <w:sz w:val="24"/>
          <w:szCs w:val="24"/>
        </w:rPr>
      </w:pPr>
      <w:bookmarkStart w:id="9" w:name="a34_07"/>
      <w:bookmarkEnd w:id="9"/>
      <w:r w:rsidRPr="00907A8A">
        <w:rPr>
          <w:rFonts w:eastAsia="Times New Roman"/>
          <w:b/>
          <w:sz w:val="24"/>
          <w:szCs w:val="24"/>
        </w:rPr>
        <w:lastRenderedPageBreak/>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rsidR="00907A8A" w:rsidRDefault="00907A8A" w:rsidP="00907A8A">
      <w:pPr>
        <w:jc w:val="center"/>
        <w:rPr>
          <w:rFonts w:eastAsia="Times New Roman"/>
          <w:sz w:val="24"/>
          <w:szCs w:val="24"/>
        </w:rPr>
      </w:pPr>
    </w:p>
    <w:p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0" w:name="a34_08"/>
      <w:bookmarkEnd w:id="10"/>
      <w:r w:rsidRPr="00896032">
        <w:rPr>
          <w:rFonts w:eastAsia="Times New Roman"/>
          <w:b/>
          <w:sz w:val="24"/>
          <w:szCs w:val="24"/>
        </w:rPr>
        <w:lastRenderedPageBreak/>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4. There are two ways to revoke a will</w:t>
      </w:r>
      <w:r w:rsidR="00984936">
        <w:rPr>
          <w:rFonts w:eastAsia="Times New Roman"/>
          <w:sz w:val="24"/>
          <w:szCs w:val="24"/>
        </w:rPr>
        <w:t xml:space="preserve"> or any part thereof</w:t>
      </w:r>
      <w:r w:rsidRPr="00896032">
        <w:rPr>
          <w:rFonts w:eastAsia="Times New Roman"/>
          <w:sz w:val="24"/>
          <w:szCs w:val="24"/>
        </w:rPr>
        <w:t>: (1) executing a subsequent will</w:t>
      </w:r>
      <w:r w:rsidR="00984936" w:rsidRPr="00984936">
        <w:rPr>
          <w:rFonts w:eastAsia="Times New Roman"/>
          <w:sz w:val="24"/>
          <w:szCs w:val="24"/>
        </w:rPr>
        <w:t xml:space="preserve"> </w:t>
      </w:r>
      <w:r w:rsidR="00984936">
        <w:rPr>
          <w:rFonts w:eastAsia="Times New Roman"/>
          <w:sz w:val="24"/>
          <w:szCs w:val="24"/>
        </w:rPr>
        <w:t>that revokes the previous will or part expressly or by inconsistency</w:t>
      </w:r>
      <w:r w:rsidRPr="00896032">
        <w:rPr>
          <w:rFonts w:eastAsia="Times New Roman"/>
          <w:sz w:val="24"/>
          <w:szCs w:val="24"/>
        </w:rPr>
        <w:t xml:space="preserve">, or (2) </w:t>
      </w:r>
      <w:r w:rsidR="00984936">
        <w:rPr>
          <w:rFonts w:eastAsia="Times New Roman"/>
          <w:sz w:val="24"/>
          <w:szCs w:val="24"/>
        </w:rPr>
        <w:t>by performing a revocatory act on the will</w:t>
      </w:r>
      <w:r w:rsidRPr="00896032">
        <w:rPr>
          <w:rFonts w:eastAsia="Times New Roman"/>
          <w:sz w:val="24"/>
          <w:szCs w:val="24"/>
        </w:rPr>
        <w:t xml:space="preserve">. § 15-11-507(1), C.R.S.;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w:t>
      </w:r>
      <w:r w:rsidR="00F71286">
        <w:rPr>
          <w:rFonts w:eastAsia="Times New Roman"/>
          <w:sz w:val="24"/>
          <w:szCs w:val="24"/>
        </w:rPr>
        <w:t>a “revocatory act on the will” includes</w:t>
      </w:r>
      <w:r w:rsidR="00F71286" w:rsidRPr="00896032">
        <w:rPr>
          <w:rFonts w:eastAsia="Times New Roman"/>
          <w:sz w:val="24"/>
          <w:szCs w:val="24"/>
        </w:rPr>
        <w:t xml:space="preserve"> </w:t>
      </w:r>
      <w:r w:rsidRPr="00896032">
        <w:rPr>
          <w:rFonts w:eastAsia="Times New Roman"/>
          <w:sz w:val="24"/>
          <w:szCs w:val="24"/>
        </w:rPr>
        <w:t xml:space="preserve">“burning,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lastRenderedPageBreak/>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r w:rsidR="00F71286" w:rsidRPr="00F71286">
        <w:rPr>
          <w:rFonts w:eastAsia="Times New Roman"/>
          <w:sz w:val="24"/>
          <w:szCs w:val="24"/>
        </w:rPr>
        <w:t xml:space="preserve">, </w:t>
      </w:r>
      <w:r w:rsidR="00C86F05">
        <w:rPr>
          <w:rFonts w:eastAsia="Times New Roman"/>
          <w:sz w:val="24"/>
          <w:szCs w:val="24"/>
        </w:rPr>
        <w:t xml:space="preserve">412 P.3d 799, </w:t>
      </w:r>
      <w:r w:rsidR="00F71286" w:rsidRPr="00F71286">
        <w:rPr>
          <w:rFonts w:eastAsia="Times New Roman"/>
          <w:i/>
          <w:sz w:val="24"/>
          <w:szCs w:val="24"/>
        </w:rPr>
        <w:t>rev’d on other grounds sub nom.</w:t>
      </w:r>
      <w:r w:rsidR="00F71286" w:rsidRPr="00F71286">
        <w:rPr>
          <w:rFonts w:eastAsia="Times New Roman"/>
          <w:sz w:val="24"/>
          <w:szCs w:val="24"/>
        </w:rPr>
        <w:t xml:space="preserve"> </w:t>
      </w:r>
      <w:r w:rsidR="00F71286" w:rsidRPr="00F71286">
        <w:rPr>
          <w:rFonts w:eastAsia="Times New Roman"/>
          <w:b/>
          <w:sz w:val="24"/>
          <w:szCs w:val="24"/>
        </w:rPr>
        <w:t>Sandstead-Corona v. Sandstead</w:t>
      </w:r>
      <w:r w:rsidR="00F71286" w:rsidRPr="00F71286">
        <w:rPr>
          <w:rFonts w:eastAsia="Times New Roman"/>
          <w:sz w:val="24"/>
          <w:szCs w:val="24"/>
        </w:rPr>
        <w:t>, 2018 CO 26</w:t>
      </w:r>
      <w:r w:rsidR="000E187F">
        <w:rPr>
          <w:rFonts w:eastAsia="Times New Roman"/>
          <w:sz w:val="24"/>
          <w:szCs w:val="24"/>
        </w:rPr>
        <w:t>, 415 P.3d 310</w:t>
      </w:r>
      <w:r w:rsidR="00F71286" w:rsidRPr="00F71286">
        <w:rPr>
          <w:rFonts w:eastAsia="Times New Roman"/>
          <w:sz w:val="24"/>
          <w:szCs w:val="24"/>
        </w:rPr>
        <w:t xml:space="preserve">; </w:t>
      </w:r>
      <w:r w:rsidR="00C86F05">
        <w:rPr>
          <w:rFonts w:eastAsia="Times New Roman"/>
          <w:sz w:val="24"/>
          <w:szCs w:val="24"/>
        </w:rPr>
        <w:t>s</w:t>
      </w:r>
      <w:r w:rsidR="00F71286" w:rsidRPr="00F71286">
        <w:rPr>
          <w:rFonts w:eastAsia="Times New Roman"/>
          <w:i/>
          <w:sz w:val="24"/>
          <w:szCs w:val="24"/>
        </w:rPr>
        <w:t xml:space="preserve">ee </w:t>
      </w:r>
      <w:r w:rsidR="00F71286" w:rsidRPr="00F71286">
        <w:rPr>
          <w:rFonts w:eastAsia="Times New Roman"/>
          <w:b/>
          <w:sz w:val="24"/>
          <w:szCs w:val="24"/>
        </w:rPr>
        <w:t>In re Estate of Schumacher</w:t>
      </w:r>
      <w:r w:rsidR="00F71286" w:rsidRPr="00F71286">
        <w:rPr>
          <w:rFonts w:eastAsia="Times New Roman"/>
          <w:sz w:val="24"/>
          <w:szCs w:val="24"/>
        </w:rPr>
        <w:t xml:space="preserve">, 253 P.3d </w:t>
      </w:r>
      <w:r w:rsidR="00F71286">
        <w:rPr>
          <w:rFonts w:eastAsia="Times New Roman"/>
          <w:sz w:val="24"/>
          <w:szCs w:val="24"/>
        </w:rPr>
        <w:t>at</w:t>
      </w:r>
      <w:r w:rsidR="00F71286" w:rsidRPr="00F71286">
        <w:rPr>
          <w:rFonts w:eastAsia="Times New Roman"/>
          <w:sz w:val="24"/>
          <w:szCs w:val="24"/>
        </w:rPr>
        <w:t xml:space="preserve"> 1282; </w:t>
      </w:r>
      <w:r w:rsidR="00C86F05">
        <w:rPr>
          <w:rFonts w:eastAsia="Times New Roman"/>
          <w:b/>
          <w:sz w:val="24"/>
          <w:szCs w:val="24"/>
        </w:rPr>
        <w:t>In re Estate of</w:t>
      </w:r>
      <w:r w:rsidR="00F71286" w:rsidRPr="00F71286">
        <w:rPr>
          <w:rFonts w:eastAsia="Times New Roman"/>
          <w:b/>
          <w:sz w:val="24"/>
          <w:szCs w:val="24"/>
        </w:rPr>
        <w:t xml:space="preserve"> Haurin</w:t>
      </w:r>
      <w:r w:rsidR="00F71286" w:rsidRPr="00F71286">
        <w:rPr>
          <w:rFonts w:eastAsia="Times New Roman"/>
          <w:sz w:val="24"/>
          <w:szCs w:val="24"/>
        </w:rPr>
        <w:t xml:space="preserve">, </w:t>
      </w:r>
      <w:r w:rsidR="00F71286" w:rsidRPr="00F71286">
        <w:rPr>
          <w:bCs/>
          <w:color w:val="252525"/>
          <w:sz w:val="24"/>
          <w:szCs w:val="24"/>
        </w:rPr>
        <w:t>43 Colo. App. 296, 605 P.2d 65 (1979)</w:t>
      </w:r>
      <w:r w:rsidR="00896032" w:rsidRPr="00896032">
        <w:rPr>
          <w:rFonts w:eastAsia="Times New Roman"/>
          <w:sz w:val="24"/>
          <w:szCs w:val="24"/>
        </w:rPr>
        <w:t>.</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1" w:name="a34_09"/>
      <w:bookmarkEnd w:id="11"/>
      <w:r w:rsidRPr="00896032">
        <w:rPr>
          <w:rFonts w:eastAsia="Times New Roman"/>
          <w:b/>
          <w:sz w:val="24"/>
          <w:szCs w:val="24"/>
        </w:rPr>
        <w:lastRenderedPageBreak/>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Under both CRE 301, and section 15-12-407, C.R.S., the presumption set out in this instruction does not shift the burden of disproving the presumed fact to the opponent of the presumption. For a discussion of CRE 301, see Notes 1-7 of the Notes on Use to Instruction 3:5. </w:t>
      </w:r>
      <w:r w:rsidRPr="00896032">
        <w:rPr>
          <w:rFonts w:eastAsia="Times New Roman"/>
          <w:sz w:val="24"/>
          <w:szCs w:val="24"/>
        </w:rPr>
        <w:lastRenderedPageBreak/>
        <w:t>Under section 15-12-407, a party has “the ultimate burden of persuasion as to matters with respect to which [that party has] the initial burden of proof.”</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2" w:name="a34_10"/>
      <w:bookmarkEnd w:id="12"/>
      <w:r>
        <w:rPr>
          <w:rFonts w:eastAsia="Times New Roman"/>
          <w:b/>
          <w:sz w:val="24"/>
          <w:szCs w:val="24"/>
        </w:rPr>
        <w:lastRenderedPageBreak/>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3" w:name="a34_11"/>
      <w:bookmarkEnd w:id="13"/>
      <w:r w:rsidRPr="00896032">
        <w:rPr>
          <w:rFonts w:eastAsia="Times New Roman"/>
          <w:b/>
          <w:sz w:val="24"/>
          <w:szCs w:val="24"/>
        </w:rPr>
        <w:lastRenderedPageBreak/>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 xml:space="preserve">In re Estate </w:t>
      </w:r>
      <w:r w:rsidRPr="00896032">
        <w:rPr>
          <w:rFonts w:eastAsia="Times New Roman"/>
          <w:b/>
          <w:sz w:val="24"/>
          <w:szCs w:val="24"/>
        </w:rPr>
        <w:lastRenderedPageBreak/>
        <w:t>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rsidR="00896032" w:rsidRDefault="00896032">
      <w:pPr>
        <w:rPr>
          <w:rFonts w:eastAsia="Times New Roman"/>
          <w:sz w:val="24"/>
          <w:szCs w:val="24"/>
        </w:rPr>
      </w:pPr>
      <w:r>
        <w:rPr>
          <w:rFonts w:eastAsia="Times New Roman"/>
          <w:sz w:val="24"/>
          <w:szCs w:val="24"/>
        </w:rPr>
        <w:br w:type="page"/>
      </w:r>
    </w:p>
    <w:p w:rsidR="00896032" w:rsidRPr="009E3DA4" w:rsidRDefault="00D81D01" w:rsidP="00896032">
      <w:pPr>
        <w:spacing w:after="240"/>
        <w:ind w:left="720" w:hanging="720"/>
        <w:rPr>
          <w:rFonts w:eastAsia="Times New Roman"/>
          <w:b/>
          <w:sz w:val="24"/>
          <w:szCs w:val="24"/>
        </w:rPr>
      </w:pPr>
      <w:bookmarkStart w:id="14" w:name="a34_12"/>
      <w:bookmarkEnd w:id="14"/>
      <w:r w:rsidRPr="00D81D01">
        <w:rPr>
          <w:rFonts w:eastAsia="Times New Roman"/>
          <w:b/>
          <w:sz w:val="24"/>
          <w:szCs w:val="24"/>
        </w:rPr>
        <w:lastRenderedPageBreak/>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5" w:name="a34_13"/>
      <w:bookmarkEnd w:id="15"/>
      <w:r w:rsidRPr="00D81D01">
        <w:rPr>
          <w:rFonts w:eastAsia="Times New Roman"/>
          <w:b/>
          <w:sz w:val="24"/>
          <w:szCs w:val="24"/>
        </w:rPr>
        <w:lastRenderedPageBreak/>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6" w:name="a34_14"/>
      <w:bookmarkEnd w:id="16"/>
      <w:r w:rsidRPr="00D81D01">
        <w:rPr>
          <w:rFonts w:eastAsia="Times New Roman"/>
          <w:b/>
          <w:sz w:val="24"/>
          <w:szCs w:val="24"/>
        </w:rPr>
        <w:lastRenderedPageBreak/>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7" w:name="a34_15"/>
      <w:bookmarkEnd w:id="17"/>
      <w:r w:rsidRPr="00D81D01">
        <w:rPr>
          <w:rFonts w:eastAsia="Times New Roman"/>
          <w:b/>
          <w:sz w:val="24"/>
          <w:szCs w:val="24"/>
        </w:rPr>
        <w:lastRenderedPageBreak/>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w:t>
      </w:r>
      <w:r w:rsidRPr="00D81D01">
        <w:rPr>
          <w:rFonts w:eastAsia="Times New Roman"/>
          <w:sz w:val="24"/>
          <w:szCs w:val="24"/>
        </w:rPr>
        <w:lastRenderedPageBreak/>
        <w:t xml:space="preserve">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8" w:name="a34_16"/>
      <w:bookmarkEnd w:id="18"/>
      <w:r w:rsidRPr="00D81D01">
        <w:rPr>
          <w:rFonts w:eastAsia="Times New Roman"/>
          <w:b/>
          <w:sz w:val="24"/>
          <w:szCs w:val="24"/>
        </w:rPr>
        <w:lastRenderedPageBreak/>
        <w:t xml:space="preserve">34:16 </w:t>
      </w:r>
      <w:r w:rsidRPr="00D81D01">
        <w:rPr>
          <w:rFonts w:eastAsia="Times New Roman"/>
          <w:b/>
          <w:sz w:val="24"/>
          <w:szCs w:val="24"/>
        </w:rPr>
        <w:tab/>
        <w:t>UNDUE INFLUENCE — PRESUMPTION WHEN BENEFICIARY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w:t>
      </w:r>
      <w:r w:rsidRPr="00D81D01">
        <w:rPr>
          <w:rFonts w:eastAsia="Times New Roman"/>
          <w:sz w:val="24"/>
          <w:szCs w:val="24"/>
        </w:rPr>
        <w:lastRenderedPageBreak/>
        <w:t xml:space="preserve">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9" w:name="a34_17"/>
      <w:bookmarkEnd w:id="19"/>
      <w:r w:rsidRPr="00D81D01">
        <w:rPr>
          <w:rFonts w:eastAsia="Times New Roman"/>
          <w:b/>
          <w:sz w:val="24"/>
          <w:szCs w:val="24"/>
        </w:rPr>
        <w:lastRenderedPageBreak/>
        <w:t>34:17</w:t>
      </w:r>
      <w:r w:rsidRPr="00D81D01">
        <w:rPr>
          <w:rFonts w:eastAsia="Times New Roman"/>
          <w:b/>
          <w:sz w:val="24"/>
          <w:szCs w:val="24"/>
        </w:rPr>
        <w:tab/>
        <w:t>UNDUE INFLUENCE ― PERMISSIBLE INFERENCE WHEN PRESUMPTION OF UNDUE INFLUENCE IS REBUTTED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rsidR="00E2145F" w:rsidRPr="009E3DA4" w:rsidRDefault="00E2145F" w:rsidP="00E2145F">
      <w:pPr>
        <w:spacing w:after="240"/>
        <w:ind w:left="720" w:hanging="720"/>
        <w:rPr>
          <w:rFonts w:eastAsia="Times New Roman"/>
          <w:b/>
          <w:sz w:val="24"/>
          <w:szCs w:val="24"/>
        </w:rPr>
      </w:pPr>
      <w:bookmarkStart w:id="20" w:name="a34_18"/>
      <w:bookmarkEnd w:id="20"/>
      <w:r w:rsidRPr="00E2145F">
        <w:rPr>
          <w:rFonts w:eastAsia="Times New Roman"/>
          <w:b/>
          <w:sz w:val="24"/>
          <w:szCs w:val="24"/>
        </w:rPr>
        <w:lastRenderedPageBreak/>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rsidR="00E2145F" w:rsidRDefault="00E2145F" w:rsidP="00E2145F">
      <w:pPr>
        <w:jc w:val="center"/>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lastRenderedPageBreak/>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rsidR="00E2145F" w:rsidRDefault="00E2145F">
      <w:pPr>
        <w:rPr>
          <w:rFonts w:eastAsia="Times New Roman"/>
          <w:b/>
          <w:sz w:val="24"/>
          <w:szCs w:val="24"/>
        </w:rPr>
      </w:pPr>
      <w:r>
        <w:rPr>
          <w:rFonts w:eastAsia="Times New Roman"/>
          <w:b/>
          <w:sz w:val="24"/>
          <w:szCs w:val="24"/>
        </w:rPr>
        <w:br w:type="page"/>
      </w:r>
    </w:p>
    <w:p w:rsidR="00E2145F" w:rsidRPr="009E3DA4" w:rsidRDefault="00E2145F" w:rsidP="00E2145F">
      <w:pPr>
        <w:spacing w:after="240"/>
        <w:ind w:left="720" w:hanging="720"/>
        <w:rPr>
          <w:rFonts w:eastAsia="Times New Roman"/>
          <w:b/>
          <w:sz w:val="24"/>
          <w:szCs w:val="24"/>
        </w:rPr>
      </w:pPr>
      <w:bookmarkStart w:id="21" w:name="a34_19"/>
      <w:bookmarkEnd w:id="21"/>
      <w:r w:rsidRPr="00E2145F">
        <w:rPr>
          <w:rFonts w:eastAsia="Times New Roman"/>
          <w:b/>
          <w:sz w:val="24"/>
          <w:szCs w:val="24"/>
        </w:rPr>
        <w:lastRenderedPageBreak/>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2" w:name="a34_20"/>
      <w:bookmarkEnd w:id="22"/>
      <w:r w:rsidRPr="00E2145F">
        <w:rPr>
          <w:rFonts w:eastAsia="Times New Roman"/>
          <w:b/>
          <w:sz w:val="24"/>
          <w:szCs w:val="24"/>
        </w:rPr>
        <w:lastRenderedPageBreak/>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3" w:name="a34_21"/>
      <w:bookmarkEnd w:id="23"/>
      <w:r w:rsidRPr="00E2145F">
        <w:rPr>
          <w:rFonts w:eastAsia="Times New Roman"/>
          <w:b/>
          <w:sz w:val="24"/>
          <w:szCs w:val="24"/>
        </w:rPr>
        <w:lastRenderedPageBreak/>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9F" w:rsidRDefault="009A1D9F" w:rsidP="0054263B">
      <w:r>
        <w:separator/>
      </w:r>
    </w:p>
    <w:p w:rsidR="009A1D9F" w:rsidRDefault="009A1D9F"/>
  </w:endnote>
  <w:endnote w:type="continuationSeparator" w:id="0">
    <w:p w:rsidR="009A1D9F" w:rsidRDefault="009A1D9F" w:rsidP="0054263B">
      <w:r>
        <w:continuationSeparator/>
      </w:r>
    </w:p>
    <w:p w:rsidR="009A1D9F" w:rsidRDefault="009A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811BE4">
          <w:rPr>
            <w:noProof/>
          </w:rPr>
          <w:t>3</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9F" w:rsidRDefault="009A1D9F" w:rsidP="0054263B">
      <w:r>
        <w:separator/>
      </w:r>
    </w:p>
    <w:p w:rsidR="009A1D9F" w:rsidRDefault="009A1D9F"/>
  </w:footnote>
  <w:footnote w:type="continuationSeparator" w:id="0">
    <w:p w:rsidR="009A1D9F" w:rsidRDefault="009A1D9F" w:rsidP="0054263B">
      <w:r>
        <w:continuationSeparator/>
      </w:r>
    </w:p>
    <w:p w:rsidR="009A1D9F" w:rsidRDefault="009A1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C204E"/>
    <w:rsid w:val="000C503A"/>
    <w:rsid w:val="000C6F97"/>
    <w:rsid w:val="000D4856"/>
    <w:rsid w:val="000E187F"/>
    <w:rsid w:val="000E72CD"/>
    <w:rsid w:val="000F205C"/>
    <w:rsid w:val="001117D9"/>
    <w:rsid w:val="00112C8E"/>
    <w:rsid w:val="00112FF9"/>
    <w:rsid w:val="00125209"/>
    <w:rsid w:val="00126B7A"/>
    <w:rsid w:val="001325AD"/>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E0D"/>
    <w:rsid w:val="00293F7E"/>
    <w:rsid w:val="002A23B0"/>
    <w:rsid w:val="002A6EC7"/>
    <w:rsid w:val="002B5FCF"/>
    <w:rsid w:val="002D0987"/>
    <w:rsid w:val="002D163D"/>
    <w:rsid w:val="002E0970"/>
    <w:rsid w:val="002E1D1B"/>
    <w:rsid w:val="002E562A"/>
    <w:rsid w:val="002F0E75"/>
    <w:rsid w:val="002F48D6"/>
    <w:rsid w:val="002F5B7D"/>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05C11"/>
    <w:rsid w:val="006153FA"/>
    <w:rsid w:val="00625453"/>
    <w:rsid w:val="00625AF7"/>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2B5A"/>
    <w:rsid w:val="00706A17"/>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1BE4"/>
    <w:rsid w:val="00813A6B"/>
    <w:rsid w:val="0082168C"/>
    <w:rsid w:val="00821D22"/>
    <w:rsid w:val="0083254A"/>
    <w:rsid w:val="0083264A"/>
    <w:rsid w:val="00832DB4"/>
    <w:rsid w:val="0083763B"/>
    <w:rsid w:val="00837F81"/>
    <w:rsid w:val="00845F81"/>
    <w:rsid w:val="00850A48"/>
    <w:rsid w:val="00853ECF"/>
    <w:rsid w:val="008557E1"/>
    <w:rsid w:val="0086735A"/>
    <w:rsid w:val="008703EF"/>
    <w:rsid w:val="00875064"/>
    <w:rsid w:val="008750D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84936"/>
    <w:rsid w:val="009902F2"/>
    <w:rsid w:val="009931B9"/>
    <w:rsid w:val="009A10F1"/>
    <w:rsid w:val="009A1D9F"/>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2325C"/>
    <w:rsid w:val="00B338E2"/>
    <w:rsid w:val="00B34ABB"/>
    <w:rsid w:val="00B35185"/>
    <w:rsid w:val="00B37722"/>
    <w:rsid w:val="00B473E5"/>
    <w:rsid w:val="00B538B9"/>
    <w:rsid w:val="00B567C1"/>
    <w:rsid w:val="00B579DF"/>
    <w:rsid w:val="00B60EBD"/>
    <w:rsid w:val="00B6275E"/>
    <w:rsid w:val="00B70D68"/>
    <w:rsid w:val="00B719C2"/>
    <w:rsid w:val="00B72D6B"/>
    <w:rsid w:val="00B73121"/>
    <w:rsid w:val="00B80FD1"/>
    <w:rsid w:val="00B937E4"/>
    <w:rsid w:val="00B96786"/>
    <w:rsid w:val="00B97801"/>
    <w:rsid w:val="00BA2389"/>
    <w:rsid w:val="00BA27A8"/>
    <w:rsid w:val="00BA510E"/>
    <w:rsid w:val="00BB054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6F05"/>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852A7"/>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2644"/>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3E7B"/>
    <w:rsid w:val="00EC7C98"/>
    <w:rsid w:val="00ED5E52"/>
    <w:rsid w:val="00ED7176"/>
    <w:rsid w:val="00ED75EA"/>
    <w:rsid w:val="00EE11EE"/>
    <w:rsid w:val="00EE3CDC"/>
    <w:rsid w:val="00EF4043"/>
    <w:rsid w:val="00EF5096"/>
    <w:rsid w:val="00F022D4"/>
    <w:rsid w:val="00F062A4"/>
    <w:rsid w:val="00F23E0D"/>
    <w:rsid w:val="00F32AA4"/>
    <w:rsid w:val="00F573CF"/>
    <w:rsid w:val="00F57A28"/>
    <w:rsid w:val="00F57A2B"/>
    <w:rsid w:val="00F658E5"/>
    <w:rsid w:val="00F71286"/>
    <w:rsid w:val="00F755B7"/>
    <w:rsid w:val="00F764F4"/>
    <w:rsid w:val="00F86F49"/>
    <w:rsid w:val="00F94E0B"/>
    <w:rsid w:val="00FA333E"/>
    <w:rsid w:val="00FA7B76"/>
    <w:rsid w:val="00FC544C"/>
    <w:rsid w:val="00FD2DF4"/>
    <w:rsid w:val="00FD7D4E"/>
    <w:rsid w:val="00FE00D7"/>
    <w:rsid w:val="00FE0A94"/>
    <w:rsid w:val="00FE156B"/>
    <w:rsid w:val="00FE1F3D"/>
    <w:rsid w:val="00FE48F2"/>
    <w:rsid w:val="00FE56B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3AF366"/>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E331-B301-496C-806A-E663664E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10383</Words>
  <Characters>59186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2019-12-12T17:49:00Z</dcterms:created>
  <dcterms:modified xsi:type="dcterms:W3CDTF">2019-12-12T17:49:00Z</dcterms:modified>
</cp:coreProperties>
</file>