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812A" w14:textId="62DA1215" w:rsidR="00CA41CC" w:rsidRPr="00914128" w:rsidRDefault="0068336D" w:rsidP="00914128">
      <w:pPr>
        <w:pStyle w:val="Heading1"/>
      </w:pPr>
      <w:bookmarkStart w:id="0" w:name="_GoBack"/>
      <w:bookmarkEnd w:id="0"/>
      <w:r>
        <w:t xml:space="preserve">CHAPTER </w:t>
      </w:r>
      <w:r w:rsidR="00014766">
        <w:t>10</w:t>
      </w:r>
    </w:p>
    <w:p w14:paraId="7E3D0E4F" w14:textId="77777777" w:rsidR="00EC7C98" w:rsidRPr="00914128" w:rsidRDefault="008220BD" w:rsidP="00914128">
      <w:pPr>
        <w:pStyle w:val="Heading1"/>
      </w:pPr>
      <w:r>
        <w:t>WRONGFUL DEATH</w:t>
      </w:r>
    </w:p>
    <w:p w14:paraId="075AD5AD" w14:textId="77777777" w:rsidR="00EC7C98" w:rsidRDefault="00963A81"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14:paraId="42C413C2" w14:textId="77777777" w:rsidR="008220BD" w:rsidRDefault="00963A81"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14:paraId="7736BF02" w14:textId="77777777" w:rsidR="008220BD" w:rsidRDefault="00963A81"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14:paraId="0A4A9F26" w14:textId="77777777" w:rsidR="008220BD" w:rsidRDefault="00963A81"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14:paraId="6BC82C2D" w14:textId="77777777" w:rsidR="00352111" w:rsidRPr="00352111" w:rsidRDefault="00352111">
      <w:pPr>
        <w:rPr>
          <w:rFonts w:eastAsia="Times New Roman"/>
          <w:sz w:val="24"/>
          <w:szCs w:val="24"/>
        </w:rPr>
      </w:pPr>
      <w:r w:rsidRPr="00352111">
        <w:rPr>
          <w:rFonts w:eastAsia="Times New Roman"/>
          <w:sz w:val="24"/>
          <w:szCs w:val="24"/>
        </w:rPr>
        <w:br w:type="page"/>
      </w:r>
    </w:p>
    <w:p w14:paraId="79539D1A" w14:textId="77777777" w:rsidR="009E3DA4" w:rsidRPr="009E3DA4" w:rsidRDefault="00014766" w:rsidP="00CC0502">
      <w:pPr>
        <w:spacing w:after="240"/>
        <w:ind w:left="720" w:hanging="720"/>
        <w:rPr>
          <w:rFonts w:eastAsia="Times New Roman"/>
          <w:b/>
          <w:sz w:val="24"/>
          <w:szCs w:val="24"/>
        </w:rPr>
      </w:pPr>
      <w:bookmarkStart w:id="1" w:name="a10_01"/>
      <w:bookmarkEnd w:id="1"/>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14:paraId="17BED7DF" w14:textId="77777777"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14:paraId="0F6C4F5F" w14:textId="77777777" w:rsidR="00832DB4" w:rsidRDefault="00832DB4" w:rsidP="0054263B">
      <w:pPr>
        <w:jc w:val="center"/>
        <w:rPr>
          <w:rFonts w:eastAsia="Times New Roman"/>
          <w:sz w:val="24"/>
          <w:szCs w:val="24"/>
        </w:rPr>
      </w:pPr>
    </w:p>
    <w:p w14:paraId="492D9C52"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5D2C117" w14:textId="77777777"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14:paraId="31467E40"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866307E" w14:textId="77777777"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14:paraId="035F4A69" w14:textId="77777777" w:rsidR="006A1FFC" w:rsidRDefault="006A1FFC">
      <w:pPr>
        <w:rPr>
          <w:rFonts w:eastAsia="Times New Roman"/>
          <w:sz w:val="24"/>
          <w:szCs w:val="24"/>
        </w:rPr>
      </w:pPr>
      <w:r>
        <w:rPr>
          <w:rFonts w:eastAsia="Times New Roman"/>
          <w:sz w:val="24"/>
          <w:szCs w:val="24"/>
        </w:rPr>
        <w:br w:type="page"/>
      </w:r>
    </w:p>
    <w:p w14:paraId="79B662B3" w14:textId="77777777" w:rsidR="006A1FFC" w:rsidRPr="009E3DA4" w:rsidRDefault="006A1FFC" w:rsidP="006A1FFC">
      <w:pPr>
        <w:spacing w:after="240"/>
        <w:ind w:left="720" w:hanging="720"/>
        <w:rPr>
          <w:rFonts w:eastAsia="Times New Roman"/>
          <w:b/>
          <w:sz w:val="24"/>
          <w:szCs w:val="24"/>
        </w:rPr>
      </w:pPr>
      <w:bookmarkStart w:id="2" w:name="a10_02"/>
      <w:bookmarkEnd w:id="2"/>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14:paraId="64F574F2"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14:paraId="379454F0" w14:textId="77777777" w:rsidR="006A1FFC" w:rsidRDefault="006A1FFC" w:rsidP="006A1FFC">
      <w:pPr>
        <w:jc w:val="center"/>
        <w:rPr>
          <w:rFonts w:eastAsia="Times New Roman"/>
          <w:sz w:val="24"/>
          <w:szCs w:val="24"/>
        </w:rPr>
      </w:pPr>
    </w:p>
    <w:p w14:paraId="508B39AD"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14:paraId="08308E6C" w14:textId="77777777"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14:paraId="49D48047" w14:textId="77777777" w:rsidR="006A1FFC" w:rsidRDefault="006A1FFC">
      <w:pPr>
        <w:rPr>
          <w:rFonts w:eastAsia="Times New Roman"/>
          <w:sz w:val="24"/>
          <w:szCs w:val="24"/>
        </w:rPr>
      </w:pPr>
      <w:r>
        <w:rPr>
          <w:rFonts w:eastAsia="Times New Roman"/>
          <w:sz w:val="24"/>
          <w:szCs w:val="24"/>
        </w:rPr>
        <w:br w:type="page"/>
      </w:r>
    </w:p>
    <w:p w14:paraId="784A02B9" w14:textId="77777777" w:rsidR="006A1FFC" w:rsidRPr="009E3DA4" w:rsidRDefault="006A1FFC" w:rsidP="006A1FFC">
      <w:pPr>
        <w:spacing w:after="240"/>
        <w:ind w:left="720" w:hanging="720"/>
        <w:rPr>
          <w:rFonts w:eastAsia="Times New Roman"/>
          <w:b/>
          <w:sz w:val="24"/>
          <w:szCs w:val="24"/>
        </w:rPr>
      </w:pPr>
      <w:bookmarkStart w:id="3" w:name="a10_03"/>
      <w:bookmarkEnd w:id="3"/>
      <w:r w:rsidRPr="006A1FFC">
        <w:rPr>
          <w:rFonts w:eastAsia="Times New Roman"/>
          <w:b/>
          <w:sz w:val="24"/>
          <w:szCs w:val="24"/>
        </w:rPr>
        <w:lastRenderedPageBreak/>
        <w:t xml:space="preserve">10:3 </w:t>
      </w:r>
      <w:r w:rsidRPr="006A1FFC">
        <w:rPr>
          <w:rFonts w:eastAsia="Times New Roman"/>
          <w:b/>
          <w:sz w:val="24"/>
          <w:szCs w:val="24"/>
        </w:rPr>
        <w:tab/>
        <w:t>DAMAGES FOR WRONGFUL DEATH</w:t>
      </w:r>
    </w:p>
    <w:p w14:paraId="4A5778BB"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14:paraId="18BF6BC9"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14:paraId="0296CD4C"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14:paraId="6E4E96D3"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14:paraId="57FD2207"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14:paraId="250F3D63" w14:textId="77777777" w:rsidR="006A1FFC" w:rsidRDefault="006A1FFC" w:rsidP="006A1FFC">
      <w:pPr>
        <w:jc w:val="center"/>
        <w:rPr>
          <w:rFonts w:eastAsia="Times New Roman"/>
          <w:sz w:val="24"/>
          <w:szCs w:val="24"/>
        </w:rPr>
      </w:pPr>
    </w:p>
    <w:p w14:paraId="54B2C672"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14:paraId="6973E831"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14:paraId="1E9F856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w:t>
      </w:r>
      <w:r w:rsidRPr="006A1FFC">
        <w:rPr>
          <w:rFonts w:eastAsia="Times New Roman"/>
          <w:sz w:val="24"/>
          <w:szCs w:val="24"/>
        </w:rPr>
        <w:lastRenderedPageBreak/>
        <w:t xml:space="preserve">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14:paraId="68CDA5F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Estate of Wright ex rel. Wright v. United Servs. Auto. 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14:paraId="3464137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13, 2015, the secretary of state has certified the following adjusted limitations on these damages:</w:t>
      </w:r>
    </w:p>
    <w:p w14:paraId="7E4BEBA2"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14:paraId="419BAE85"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14:paraId="0C830A26" w14:textId="77777777"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14:paraId="1A290183" w14:textId="77777777" w:rsidR="006A1FFC" w:rsidRPr="006A1FFC" w:rsidRDefault="006A1FFC" w:rsidP="00F25120">
      <w:pPr>
        <w:ind w:left="720"/>
        <w:rPr>
          <w:rFonts w:eastAsia="Times New Roman"/>
          <w:sz w:val="24"/>
          <w:szCs w:val="24"/>
        </w:rPr>
      </w:pPr>
    </w:p>
    <w:p w14:paraId="322BD0CA"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p>
    <w:p w14:paraId="55F592D3"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14:paraId="490E8065" w14:textId="77777777" w:rsidR="006A1FFC" w:rsidRP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14:paraId="4C607111" w14:textId="77777777"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14:paraId="2ADE72D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14:paraId="32E9726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lastRenderedPageBreak/>
        <w:t xml:space="preserve">6. A decedent’s future tax liability must not be considered when calculating a plaintiff’s net pecuniary loss in a wrongful death case. </w:t>
      </w:r>
      <w:r w:rsidRPr="006A1FFC">
        <w:rPr>
          <w:rFonts w:eastAsia="Times New Roman"/>
          <w:b/>
          <w:bCs/>
          <w:sz w:val="24"/>
          <w:szCs w:val="24"/>
        </w:rPr>
        <w:t>Hoyal v. Pioneer Sand Co.</w:t>
      </w:r>
      <w:r w:rsidRPr="006A1FFC">
        <w:rPr>
          <w:rFonts w:eastAsia="Times New Roman"/>
          <w:sz w:val="24"/>
          <w:szCs w:val="24"/>
        </w:rPr>
        <w:t xml:space="preserve">, 188 P.3d 716 (Colo. 2008). </w:t>
      </w:r>
    </w:p>
    <w:p w14:paraId="40D5FB3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14:paraId="6C13FA45"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14:paraId="5575223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14:paraId="09AED9F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14:paraId="13ECE333"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w:t>
      </w:r>
      <w:r w:rsidRPr="006A1FFC">
        <w:rPr>
          <w:rFonts w:eastAsia="Times New Roman"/>
          <w:sz w:val="24"/>
          <w:szCs w:val="24"/>
        </w:rPr>
        <w:lastRenderedPageBreak/>
        <w:t>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Lanahan v. Chi Psi Fraternity</w:t>
      </w:r>
      <w:r w:rsidRPr="006A1FFC">
        <w:rPr>
          <w:rFonts w:eastAsia="Times New Roman"/>
          <w:sz w:val="24"/>
          <w:szCs w:val="24"/>
        </w:rPr>
        <w:t xml:space="preserve">, 175 P.3d 97 (Colo. 2008). </w:t>
      </w:r>
    </w:p>
    <w:p w14:paraId="01D4E8C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r w:rsidRPr="006A1FFC">
        <w:rPr>
          <w:rFonts w:eastAsia="Times New Roman"/>
          <w:b/>
          <w:sz w:val="24"/>
          <w:szCs w:val="24"/>
        </w:rPr>
        <w:t>Steedle v. Sereff</w:t>
      </w:r>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14:paraId="5FF2FE8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r w:rsidRPr="006A1FFC">
        <w:rPr>
          <w:rFonts w:eastAsia="Times New Roman"/>
          <w:b/>
          <w:sz w:val="24"/>
          <w:szCs w:val="24"/>
        </w:rPr>
        <w:t>Bartch v. United States</w:t>
      </w:r>
      <w:r w:rsidRPr="006A1FFC">
        <w:rPr>
          <w:rFonts w:eastAsia="Times New Roman"/>
          <w:sz w:val="24"/>
          <w:szCs w:val="24"/>
        </w:rPr>
        <w:t>, 330 F.2d 466 (10th Cir. 1964).</w:t>
      </w:r>
    </w:p>
    <w:p w14:paraId="081C1C0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14:paraId="396CEB60"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14:paraId="228E94B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14:paraId="52ED392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w:t>
      </w:r>
      <w:r w:rsidR="00FC39BF">
        <w:rPr>
          <w:rFonts w:eastAsia="Times New Roman"/>
          <w:sz w:val="24"/>
          <w:szCs w:val="24"/>
        </w:rPr>
        <w:t xml:space="preserve">In general, the word “heir” refers to “a person who inherits real or personal property.” </w:t>
      </w:r>
      <w:r w:rsidR="00FC39BF" w:rsidRPr="00460F26">
        <w:rPr>
          <w:rFonts w:eastAsia="Times New Roman"/>
          <w:b/>
          <w:bCs/>
          <w:sz w:val="24"/>
          <w:szCs w:val="24"/>
        </w:rPr>
        <w:t>Ferguson v. Spalding Rehab., LLC</w:t>
      </w:r>
      <w:r w:rsidR="00FC39BF" w:rsidRPr="00F74104">
        <w:rPr>
          <w:rFonts w:eastAsia="Times New Roman"/>
          <w:sz w:val="24"/>
          <w:szCs w:val="24"/>
        </w:rPr>
        <w:t>, 2019 COA 93, ¶</w:t>
      </w:r>
      <w:r w:rsidR="00FC39BF">
        <w:rPr>
          <w:rFonts w:eastAsia="Times New Roman"/>
          <w:sz w:val="24"/>
          <w:szCs w:val="24"/>
        </w:rPr>
        <w:t xml:space="preserve"> 11. But, t</w:t>
      </w:r>
      <w:r w:rsidRPr="006A1FFC">
        <w:rPr>
          <w:rFonts w:eastAsia="Times New Roman"/>
          <w:sz w:val="24"/>
          <w:szCs w:val="24"/>
        </w:rPr>
        <w:t xml:space="preserve">he term “heirs” in section 13-21-201(1)(a), specifying who may sue for a wrongful death, refers only to the </w:t>
      </w:r>
      <w:r w:rsidR="000B3708">
        <w:rPr>
          <w:rFonts w:eastAsia="Times New Roman"/>
          <w:sz w:val="24"/>
          <w:szCs w:val="24"/>
        </w:rPr>
        <w:t>“</w:t>
      </w:r>
      <w:r w:rsidRPr="006A1FFC">
        <w:rPr>
          <w:rFonts w:eastAsia="Times New Roman"/>
          <w:sz w:val="24"/>
          <w:szCs w:val="24"/>
        </w:rPr>
        <w:t>lineal descendants</w:t>
      </w:r>
      <w:r w:rsidR="000B3708">
        <w:rPr>
          <w:rFonts w:eastAsia="Times New Roman"/>
          <w:sz w:val="24"/>
          <w:szCs w:val="24"/>
        </w:rPr>
        <w:t>”</w:t>
      </w:r>
      <w:r w:rsidRPr="006A1FFC">
        <w:rPr>
          <w:rFonts w:eastAsia="Times New Roman"/>
          <w:sz w:val="24"/>
          <w:szCs w:val="24"/>
        </w:rPr>
        <w:t xml:space="preserve"> of a deceased and </w:t>
      </w:r>
      <w:r w:rsidR="000B3708">
        <w:rPr>
          <w:rFonts w:eastAsia="Times New Roman"/>
          <w:sz w:val="24"/>
          <w:szCs w:val="24"/>
        </w:rPr>
        <w:t>generally</w:t>
      </w:r>
      <w:r w:rsidRPr="006A1FFC">
        <w:rPr>
          <w:rFonts w:eastAsia="Times New Roman"/>
          <w:sz w:val="24"/>
          <w:szCs w:val="24"/>
        </w:rPr>
        <w:t xml:space="preserv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w:t>
      </w:r>
      <w:r w:rsidR="000B3708">
        <w:rPr>
          <w:rFonts w:eastAsia="Times New Roman"/>
          <w:sz w:val="24"/>
          <w:szCs w:val="24"/>
        </w:rPr>
        <w:t>A l</w:t>
      </w:r>
      <w:r w:rsidR="000B3708" w:rsidRPr="00F74104">
        <w:rPr>
          <w:rFonts w:eastAsia="Times New Roman"/>
          <w:sz w:val="24"/>
          <w:szCs w:val="24"/>
        </w:rPr>
        <w:t>ineal descendant</w:t>
      </w:r>
      <w:r w:rsidR="000B3708">
        <w:rPr>
          <w:rFonts w:eastAsia="Times New Roman"/>
          <w:sz w:val="24"/>
          <w:szCs w:val="24"/>
        </w:rPr>
        <w:t xml:space="preserve"> is “</w:t>
      </w:r>
      <w:r w:rsidR="000B3708" w:rsidRPr="00F74104">
        <w:rPr>
          <w:rFonts w:eastAsia="Times New Roman"/>
          <w:sz w:val="24"/>
          <w:szCs w:val="24"/>
        </w:rPr>
        <w:t>[o]ne who is in the line of descent from the ancestor.</w:t>
      </w:r>
      <w:r w:rsidR="000B3708">
        <w:rPr>
          <w:rFonts w:eastAsia="Times New Roman"/>
          <w:sz w:val="24"/>
          <w:szCs w:val="24"/>
        </w:rPr>
        <w:t xml:space="preserve">” </w:t>
      </w:r>
      <w:r w:rsidR="000B3708" w:rsidRPr="00460F26">
        <w:rPr>
          <w:rFonts w:eastAsia="Times New Roman"/>
          <w:b/>
          <w:bCs/>
          <w:sz w:val="24"/>
          <w:szCs w:val="24"/>
        </w:rPr>
        <w:t>Ferguson</w:t>
      </w:r>
      <w:r w:rsidR="000B3708" w:rsidRPr="00F74104">
        <w:rPr>
          <w:rFonts w:eastAsia="Times New Roman"/>
          <w:sz w:val="24"/>
          <w:szCs w:val="24"/>
        </w:rPr>
        <w:t>, 2019 COA 93, ¶¶ 16</w:t>
      </w:r>
      <w:r w:rsidR="000B3708">
        <w:rPr>
          <w:rFonts w:eastAsia="Times New Roman"/>
          <w:sz w:val="24"/>
          <w:szCs w:val="24"/>
        </w:rPr>
        <w:t>-25 (holding decedent’s adult adoptee a lineal descendent under the wrongful death act). But section</w:t>
      </w:r>
      <w:r w:rsidR="000B3708" w:rsidRPr="009532B8">
        <w:rPr>
          <w:rFonts w:eastAsia="Times New Roman"/>
          <w:sz w:val="24"/>
          <w:szCs w:val="24"/>
        </w:rPr>
        <w:t xml:space="preserve"> 13-21-201(1)(c)</w:t>
      </w:r>
      <w:r w:rsidR="000B3708">
        <w:rPr>
          <w:rFonts w:eastAsia="Times New Roman"/>
          <w:sz w:val="24"/>
          <w:szCs w:val="24"/>
        </w:rPr>
        <w:t xml:space="preserve"> </w:t>
      </w:r>
      <w:r w:rsidR="000B3708" w:rsidRPr="009532B8">
        <w:rPr>
          <w:rFonts w:eastAsia="Times New Roman"/>
          <w:sz w:val="24"/>
          <w:szCs w:val="24"/>
        </w:rPr>
        <w:t xml:space="preserve">provides standing for parents </w:t>
      </w:r>
      <w:r w:rsidR="000B3708">
        <w:rPr>
          <w:rFonts w:eastAsia="Times New Roman"/>
          <w:sz w:val="24"/>
          <w:szCs w:val="24"/>
        </w:rPr>
        <w:t>i</w:t>
      </w:r>
      <w:r w:rsidR="000B3708" w:rsidRPr="009532B8">
        <w:rPr>
          <w:rFonts w:eastAsia="Times New Roman"/>
          <w:sz w:val="24"/>
          <w:szCs w:val="24"/>
        </w:rPr>
        <w:t xml:space="preserve">f the deceased is </w:t>
      </w:r>
      <w:r w:rsidR="000B3708" w:rsidRPr="00AF291C">
        <w:rPr>
          <w:rFonts w:eastAsia="Times New Roman"/>
          <w:sz w:val="24"/>
          <w:szCs w:val="24"/>
        </w:rPr>
        <w:t>an unmarried minor without descendants or an unmarried adult without descendants and without a designated beneficiary</w:t>
      </w:r>
      <w:r w:rsidR="000B3708">
        <w:rPr>
          <w:rFonts w:eastAsia="Times New Roman"/>
          <w:sz w:val="24"/>
          <w:szCs w:val="24"/>
        </w:rPr>
        <w:t xml:space="preserve">. </w:t>
      </w:r>
      <w:r w:rsidR="000B3708" w:rsidRPr="00460F26">
        <w:rPr>
          <w:rFonts w:eastAsia="Times New Roman"/>
          <w:i/>
          <w:iCs/>
          <w:sz w:val="24"/>
          <w:szCs w:val="24"/>
        </w:rPr>
        <w:t>See</w:t>
      </w:r>
      <w:r w:rsidR="000B3708">
        <w:rPr>
          <w:rFonts w:eastAsia="Times New Roman"/>
          <w:sz w:val="24"/>
          <w:szCs w:val="24"/>
        </w:rPr>
        <w:t xml:space="preserve"> </w:t>
      </w:r>
      <w:r w:rsidR="000B3708" w:rsidRPr="00460F26">
        <w:rPr>
          <w:rFonts w:eastAsia="Times New Roman"/>
          <w:b/>
          <w:bCs/>
          <w:sz w:val="24"/>
          <w:szCs w:val="24"/>
        </w:rPr>
        <w:t>Whitenhill</w:t>
      </w:r>
      <w:r w:rsidR="000B3708" w:rsidRPr="009532B8">
        <w:rPr>
          <w:rFonts w:eastAsia="Times New Roman"/>
          <w:sz w:val="24"/>
          <w:szCs w:val="24"/>
        </w:rPr>
        <w:t xml:space="preserve">, 940 P.2d </w:t>
      </w:r>
      <w:r w:rsidR="000B3708">
        <w:rPr>
          <w:rFonts w:eastAsia="Times New Roman"/>
          <w:sz w:val="24"/>
          <w:szCs w:val="24"/>
        </w:rPr>
        <w:t>at</w:t>
      </w:r>
      <w:r w:rsidR="000B3708" w:rsidRPr="009532B8">
        <w:rPr>
          <w:rFonts w:eastAsia="Times New Roman"/>
          <w:sz w:val="24"/>
          <w:szCs w:val="24"/>
        </w:rPr>
        <w:t xml:space="preserve"> 1131</w:t>
      </w:r>
      <w:r w:rsidR="000B3708">
        <w:rPr>
          <w:rFonts w:eastAsia="Times New Roman"/>
          <w:sz w:val="24"/>
          <w:szCs w:val="24"/>
        </w:rPr>
        <w:t>. W</w:t>
      </w:r>
      <w:r w:rsidR="000B3708" w:rsidRPr="009532B8">
        <w:rPr>
          <w:rFonts w:eastAsia="Times New Roman"/>
          <w:sz w:val="24"/>
          <w:szCs w:val="24"/>
        </w:rPr>
        <w:t>hether the parent of a deceased adult has standing to bring a wrongful death action is determined as of the decedent</w:t>
      </w:r>
      <w:r w:rsidR="000B3708">
        <w:rPr>
          <w:rFonts w:eastAsia="Times New Roman"/>
          <w:sz w:val="24"/>
          <w:szCs w:val="24"/>
        </w:rPr>
        <w:t>’</w:t>
      </w:r>
      <w:r w:rsidR="000B3708" w:rsidRPr="009532B8">
        <w:rPr>
          <w:rFonts w:eastAsia="Times New Roman"/>
          <w:sz w:val="24"/>
          <w:szCs w:val="24"/>
        </w:rPr>
        <w:t>s date of death</w:t>
      </w:r>
      <w:r w:rsidR="000B3708">
        <w:rPr>
          <w:rFonts w:eastAsia="Times New Roman"/>
          <w:sz w:val="24"/>
          <w:szCs w:val="24"/>
        </w:rPr>
        <w:t xml:space="preserve">. </w:t>
      </w:r>
      <w:r w:rsidR="000B3708" w:rsidRPr="00460F26">
        <w:rPr>
          <w:rFonts w:eastAsia="Times New Roman"/>
          <w:b/>
          <w:bCs/>
          <w:sz w:val="24"/>
          <w:szCs w:val="24"/>
        </w:rPr>
        <w:t>Hansen v. Barron</w:t>
      </w:r>
      <w:r w:rsidR="000B3708">
        <w:rPr>
          <w:rFonts w:eastAsia="Times New Roman"/>
          <w:b/>
          <w:bCs/>
          <w:sz w:val="24"/>
          <w:szCs w:val="24"/>
        </w:rPr>
        <w:t>’</w:t>
      </w:r>
      <w:r w:rsidR="000B3708" w:rsidRPr="00460F26">
        <w:rPr>
          <w:rFonts w:eastAsia="Times New Roman"/>
          <w:b/>
          <w:bCs/>
          <w:sz w:val="24"/>
          <w:szCs w:val="24"/>
        </w:rPr>
        <w:t>s Oilfield Serv.</w:t>
      </w:r>
      <w:r w:rsidR="000B3708" w:rsidRPr="009532B8">
        <w:rPr>
          <w:rFonts w:eastAsia="Times New Roman"/>
          <w:sz w:val="24"/>
          <w:szCs w:val="24"/>
        </w:rPr>
        <w:t>, 2018 COA 132, ¶ 1, 429 P.3d 101</w:t>
      </w:r>
      <w:r w:rsidR="000B3708">
        <w:rPr>
          <w:rFonts w:eastAsia="Times New Roman"/>
          <w:sz w:val="24"/>
          <w:szCs w:val="24"/>
        </w:rPr>
        <w:t xml:space="preserve"> (</w:t>
      </w:r>
      <w:r w:rsidR="000B3708" w:rsidRPr="009532B8">
        <w:rPr>
          <w:rFonts w:eastAsia="Times New Roman"/>
          <w:sz w:val="24"/>
          <w:szCs w:val="24"/>
        </w:rPr>
        <w:t xml:space="preserve">parent of an adult deceased does not have standing to sue </w:t>
      </w:r>
      <w:r w:rsidR="000B3708">
        <w:rPr>
          <w:rFonts w:eastAsia="Times New Roman"/>
          <w:sz w:val="24"/>
          <w:szCs w:val="24"/>
        </w:rPr>
        <w:t xml:space="preserve">for wrongful death </w:t>
      </w:r>
      <w:r w:rsidR="000B3708" w:rsidRPr="009532B8">
        <w:rPr>
          <w:rFonts w:eastAsia="Times New Roman"/>
          <w:sz w:val="24"/>
          <w:szCs w:val="24"/>
        </w:rPr>
        <w:t xml:space="preserve">when the deceased was married at the </w:t>
      </w:r>
      <w:r w:rsidR="000B3708" w:rsidRPr="009532B8">
        <w:rPr>
          <w:rFonts w:eastAsia="Times New Roman"/>
          <w:sz w:val="24"/>
          <w:szCs w:val="24"/>
        </w:rPr>
        <w:lastRenderedPageBreak/>
        <w:t>time of her death</w:t>
      </w:r>
      <w:r w:rsidR="000B3708">
        <w:rPr>
          <w:rFonts w:eastAsia="Times New Roman"/>
          <w:sz w:val="24"/>
          <w:szCs w:val="24"/>
        </w:rPr>
        <w:t>). A</w:t>
      </w:r>
      <w:r w:rsidRPr="006A1FFC">
        <w:rPr>
          <w:rFonts w:eastAsia="Times New Roman"/>
          <w:sz w:val="24"/>
          <w:szCs w:val="24"/>
        </w:rPr>
        <w:t xml:space="preserve">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14:paraId="71B772B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14:paraId="25B91B5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14:paraId="4959D2DC" w14:textId="77777777"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14:paraId="15FB12F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14:paraId="5C1488A4" w14:textId="77777777" w:rsidR="008220BD" w:rsidRDefault="008220BD">
      <w:pPr>
        <w:rPr>
          <w:rFonts w:eastAsia="Times New Roman"/>
          <w:sz w:val="24"/>
          <w:szCs w:val="24"/>
        </w:rPr>
      </w:pPr>
      <w:r>
        <w:rPr>
          <w:rFonts w:eastAsia="Times New Roman"/>
          <w:sz w:val="24"/>
          <w:szCs w:val="24"/>
        </w:rPr>
        <w:br w:type="page"/>
      </w:r>
    </w:p>
    <w:p w14:paraId="1ACAEAC6" w14:textId="77777777" w:rsidR="008220BD" w:rsidRPr="009E3DA4" w:rsidRDefault="008220BD" w:rsidP="008220BD">
      <w:pPr>
        <w:spacing w:after="240"/>
        <w:ind w:left="720" w:hanging="720"/>
        <w:rPr>
          <w:rFonts w:eastAsia="Times New Roman"/>
          <w:b/>
          <w:sz w:val="24"/>
          <w:szCs w:val="24"/>
        </w:rPr>
      </w:pPr>
      <w:bookmarkStart w:id="4" w:name="a10_04"/>
      <w:bookmarkEnd w:id="4"/>
      <w:r w:rsidRPr="008220BD">
        <w:rPr>
          <w:rFonts w:eastAsia="Times New Roman"/>
          <w:b/>
          <w:sz w:val="24"/>
          <w:szCs w:val="24"/>
        </w:rPr>
        <w:lastRenderedPageBreak/>
        <w:t xml:space="preserve">10:4 </w:t>
      </w:r>
      <w:r w:rsidRPr="008220BD">
        <w:rPr>
          <w:rFonts w:eastAsia="Times New Roman"/>
          <w:b/>
          <w:sz w:val="24"/>
          <w:szCs w:val="24"/>
        </w:rPr>
        <w:tab/>
        <w:t>WRONGFUL DEATH OF CHILD — DETERMINING PECUNIARY LOSS</w:t>
      </w:r>
    </w:p>
    <w:p w14:paraId="759D76AF"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14:paraId="34DEFFBA"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plaintiff(’s)(s’)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14:paraId="6A0548A0" w14:textId="77777777" w:rsidR="008220BD" w:rsidRDefault="008220BD" w:rsidP="008220BD">
      <w:pPr>
        <w:jc w:val="center"/>
        <w:rPr>
          <w:rFonts w:eastAsia="Times New Roman"/>
          <w:sz w:val="24"/>
          <w:szCs w:val="24"/>
        </w:rPr>
      </w:pPr>
    </w:p>
    <w:p w14:paraId="67C01BF5" w14:textId="77777777"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14:paraId="4FFD6D2E"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14:paraId="48525C1F"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14:paraId="1AA4E60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14:paraId="43189EE9"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14:paraId="229535BA"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r w:rsidRPr="008220BD">
        <w:rPr>
          <w:rFonts w:eastAsia="Times New Roman"/>
          <w:b/>
          <w:bCs/>
          <w:sz w:val="24"/>
          <w:szCs w:val="24"/>
        </w:rPr>
        <w:t>Hoyal v. Pioneer Sand Co.</w:t>
      </w:r>
      <w:r w:rsidRPr="008220BD">
        <w:rPr>
          <w:rFonts w:eastAsia="Times New Roman"/>
          <w:sz w:val="24"/>
          <w:szCs w:val="24"/>
        </w:rPr>
        <w:t>, 188 P.3d 716 (Colo. 2008).</w:t>
      </w:r>
    </w:p>
    <w:p w14:paraId="513AD55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14:paraId="59167FD5" w14:textId="77777777" w:rsidR="008220BD" w:rsidRPr="008220BD" w:rsidRDefault="00E0738E" w:rsidP="008220BD">
      <w:pPr>
        <w:spacing w:after="240"/>
        <w:ind w:firstLine="720"/>
        <w:rPr>
          <w:rFonts w:eastAsia="Times New Roman"/>
          <w:sz w:val="24"/>
          <w:szCs w:val="24"/>
        </w:rPr>
      </w:pPr>
      <w:r>
        <w:rPr>
          <w:rFonts w:eastAsia="Times New Roman"/>
          <w:sz w:val="24"/>
          <w:szCs w:val="24"/>
        </w:rPr>
        <w:t xml:space="preserve">7. </w:t>
      </w:r>
      <w:r w:rsidR="008220BD" w:rsidRPr="008220BD">
        <w:rPr>
          <w:rFonts w:eastAsia="Times New Roman"/>
          <w:sz w:val="24"/>
          <w:szCs w:val="24"/>
        </w:rPr>
        <w:t xml:space="preserve">For a discussion of the situation where a deceased child leaves no surviving spouse or child, see </w:t>
      </w:r>
      <w:r w:rsidR="008220BD" w:rsidRPr="008220BD">
        <w:rPr>
          <w:rFonts w:eastAsia="Times New Roman"/>
          <w:b/>
          <w:sz w:val="24"/>
          <w:szCs w:val="24"/>
        </w:rPr>
        <w:t>Public Service Co. of Colorado v. District Court</w:t>
      </w:r>
      <w:r w:rsidR="008220BD" w:rsidRPr="008220BD">
        <w:rPr>
          <w:rFonts w:eastAsia="Times New Roman"/>
          <w:sz w:val="24"/>
          <w:szCs w:val="24"/>
        </w:rPr>
        <w:t xml:space="preserve">, 674 P.2d 383 (Colo. 1984). </w:t>
      </w:r>
    </w:p>
    <w:p w14:paraId="4F32EE70" w14:textId="77777777" w:rsidR="008220BD" w:rsidRPr="0054263B" w:rsidRDefault="008220BD" w:rsidP="008220BD">
      <w:pPr>
        <w:keepNext/>
        <w:spacing w:after="240"/>
        <w:jc w:val="center"/>
        <w:rPr>
          <w:rFonts w:eastAsia="Times New Roman"/>
          <w:b/>
          <w:sz w:val="24"/>
          <w:szCs w:val="24"/>
        </w:rPr>
      </w:pPr>
      <w:r>
        <w:rPr>
          <w:rFonts w:eastAsia="Times New Roman"/>
          <w:b/>
          <w:sz w:val="24"/>
          <w:szCs w:val="24"/>
        </w:rPr>
        <w:lastRenderedPageBreak/>
        <w:t>Source and Authority</w:t>
      </w:r>
    </w:p>
    <w:p w14:paraId="6FF21347" w14:textId="77777777"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1C78" w14:textId="77777777" w:rsidR="000B10F1" w:rsidRDefault="000B10F1" w:rsidP="0054263B">
      <w:r>
        <w:separator/>
      </w:r>
    </w:p>
    <w:p w14:paraId="5062D9A5" w14:textId="77777777" w:rsidR="000B10F1" w:rsidRDefault="000B10F1"/>
  </w:endnote>
  <w:endnote w:type="continuationSeparator" w:id="0">
    <w:p w14:paraId="0C630A79" w14:textId="77777777" w:rsidR="000B10F1" w:rsidRDefault="000B10F1" w:rsidP="0054263B">
      <w:r>
        <w:continuationSeparator/>
      </w:r>
    </w:p>
    <w:p w14:paraId="4E958645" w14:textId="77777777" w:rsidR="000B10F1" w:rsidRDefault="000B1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476C1982" w14:textId="77777777" w:rsidR="00B80FD1" w:rsidRDefault="00B80FD1">
        <w:pPr>
          <w:pStyle w:val="Footer"/>
          <w:jc w:val="center"/>
        </w:pPr>
        <w:r>
          <w:fldChar w:fldCharType="begin"/>
        </w:r>
        <w:r>
          <w:instrText xml:space="preserve"> PAGE   \* MERGEFORMAT </w:instrText>
        </w:r>
        <w:r>
          <w:fldChar w:fldCharType="separate"/>
        </w:r>
        <w:r w:rsidR="003D63E7">
          <w:rPr>
            <w:noProof/>
          </w:rPr>
          <w:t>10</w:t>
        </w:r>
        <w:r>
          <w:rPr>
            <w:noProof/>
          </w:rPr>
          <w:fldChar w:fldCharType="end"/>
        </w:r>
      </w:p>
    </w:sdtContent>
  </w:sdt>
  <w:p w14:paraId="191B7861" w14:textId="77777777" w:rsidR="00B80FD1" w:rsidRDefault="00B80FD1">
    <w:pPr>
      <w:pStyle w:val="Footer"/>
    </w:pPr>
  </w:p>
  <w:p w14:paraId="4DE5E725" w14:textId="77777777" w:rsidR="00B80FD1" w:rsidRDefault="00B8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64DC" w14:textId="77777777" w:rsidR="000B10F1" w:rsidRDefault="000B10F1" w:rsidP="0054263B">
      <w:r>
        <w:separator/>
      </w:r>
    </w:p>
    <w:p w14:paraId="725D0B75" w14:textId="77777777" w:rsidR="000B10F1" w:rsidRDefault="000B10F1"/>
  </w:footnote>
  <w:footnote w:type="continuationSeparator" w:id="0">
    <w:p w14:paraId="2EC9FA6F" w14:textId="77777777" w:rsidR="000B10F1" w:rsidRDefault="000B10F1" w:rsidP="0054263B">
      <w:r>
        <w:continuationSeparator/>
      </w:r>
    </w:p>
    <w:p w14:paraId="15993930" w14:textId="77777777" w:rsidR="000B10F1" w:rsidRDefault="000B1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4766"/>
    <w:rsid w:val="000232F0"/>
    <w:rsid w:val="00037111"/>
    <w:rsid w:val="0006367C"/>
    <w:rsid w:val="000824C8"/>
    <w:rsid w:val="00085495"/>
    <w:rsid w:val="00091CF1"/>
    <w:rsid w:val="000921F1"/>
    <w:rsid w:val="000962C8"/>
    <w:rsid w:val="000B10F1"/>
    <w:rsid w:val="000B1B7A"/>
    <w:rsid w:val="000B3708"/>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29B"/>
    <w:rsid w:val="002065D8"/>
    <w:rsid w:val="0021368F"/>
    <w:rsid w:val="00216E40"/>
    <w:rsid w:val="0022134E"/>
    <w:rsid w:val="00223286"/>
    <w:rsid w:val="00227D3A"/>
    <w:rsid w:val="0024062B"/>
    <w:rsid w:val="0024597C"/>
    <w:rsid w:val="002547C3"/>
    <w:rsid w:val="002654B4"/>
    <w:rsid w:val="00273777"/>
    <w:rsid w:val="00293F7E"/>
    <w:rsid w:val="002A23B0"/>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D63E7"/>
    <w:rsid w:val="003E472A"/>
    <w:rsid w:val="003E5B38"/>
    <w:rsid w:val="003F108C"/>
    <w:rsid w:val="003F6E89"/>
    <w:rsid w:val="00434371"/>
    <w:rsid w:val="004425AA"/>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283B"/>
    <w:rsid w:val="005B3A78"/>
    <w:rsid w:val="005D3156"/>
    <w:rsid w:val="005E712D"/>
    <w:rsid w:val="005F1017"/>
    <w:rsid w:val="00620BE3"/>
    <w:rsid w:val="006272FE"/>
    <w:rsid w:val="00647CC5"/>
    <w:rsid w:val="00651A64"/>
    <w:rsid w:val="00661D05"/>
    <w:rsid w:val="00675252"/>
    <w:rsid w:val="00682B93"/>
    <w:rsid w:val="0068336D"/>
    <w:rsid w:val="00683FA1"/>
    <w:rsid w:val="00687304"/>
    <w:rsid w:val="006A1FFC"/>
    <w:rsid w:val="006A74B6"/>
    <w:rsid w:val="006B2457"/>
    <w:rsid w:val="006B26D7"/>
    <w:rsid w:val="006E0D06"/>
    <w:rsid w:val="006E3575"/>
    <w:rsid w:val="006E62F0"/>
    <w:rsid w:val="006F7DC0"/>
    <w:rsid w:val="00702B5A"/>
    <w:rsid w:val="0070752A"/>
    <w:rsid w:val="007119D8"/>
    <w:rsid w:val="0071225B"/>
    <w:rsid w:val="007216DA"/>
    <w:rsid w:val="007532AB"/>
    <w:rsid w:val="007A3A0E"/>
    <w:rsid w:val="007A612E"/>
    <w:rsid w:val="007B1633"/>
    <w:rsid w:val="007D198E"/>
    <w:rsid w:val="007D2BCE"/>
    <w:rsid w:val="007D39CC"/>
    <w:rsid w:val="007E1675"/>
    <w:rsid w:val="007E31FF"/>
    <w:rsid w:val="007F7129"/>
    <w:rsid w:val="00801691"/>
    <w:rsid w:val="00813A6B"/>
    <w:rsid w:val="0082168C"/>
    <w:rsid w:val="008220BD"/>
    <w:rsid w:val="00830997"/>
    <w:rsid w:val="0083264A"/>
    <w:rsid w:val="00832DB4"/>
    <w:rsid w:val="0083763B"/>
    <w:rsid w:val="00837F81"/>
    <w:rsid w:val="00845F81"/>
    <w:rsid w:val="00850A48"/>
    <w:rsid w:val="00851876"/>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37E38"/>
    <w:rsid w:val="00952BBB"/>
    <w:rsid w:val="0095709A"/>
    <w:rsid w:val="00963A81"/>
    <w:rsid w:val="00973884"/>
    <w:rsid w:val="009902F2"/>
    <w:rsid w:val="009931B9"/>
    <w:rsid w:val="0099791C"/>
    <w:rsid w:val="009B6746"/>
    <w:rsid w:val="009E20C7"/>
    <w:rsid w:val="009E3DA4"/>
    <w:rsid w:val="00A36457"/>
    <w:rsid w:val="00A7241A"/>
    <w:rsid w:val="00A73AE6"/>
    <w:rsid w:val="00A80C10"/>
    <w:rsid w:val="00A85AAA"/>
    <w:rsid w:val="00A92C18"/>
    <w:rsid w:val="00AB2019"/>
    <w:rsid w:val="00AB71A7"/>
    <w:rsid w:val="00AC78F7"/>
    <w:rsid w:val="00AF0F6A"/>
    <w:rsid w:val="00AF7D47"/>
    <w:rsid w:val="00B0264D"/>
    <w:rsid w:val="00B3658E"/>
    <w:rsid w:val="00B37722"/>
    <w:rsid w:val="00B42E7B"/>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475F9"/>
    <w:rsid w:val="00D51E80"/>
    <w:rsid w:val="00D8125F"/>
    <w:rsid w:val="00DB12CA"/>
    <w:rsid w:val="00DB2C90"/>
    <w:rsid w:val="00DC63A9"/>
    <w:rsid w:val="00DC66A6"/>
    <w:rsid w:val="00DE2930"/>
    <w:rsid w:val="00DF2CB7"/>
    <w:rsid w:val="00DF3BF1"/>
    <w:rsid w:val="00E058BA"/>
    <w:rsid w:val="00E0738E"/>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C39BF"/>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E06"/>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2019-12-12T17:37:00Z</dcterms:created>
  <dcterms:modified xsi:type="dcterms:W3CDTF">2019-12-12T17:37:00Z</dcterms:modified>
</cp:coreProperties>
</file>